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关于</w:t>
      </w:r>
      <w:r>
        <w:rPr>
          <w:rFonts w:ascii="宋体" w:hAnsi="宋体"/>
          <w:b/>
          <w:color w:val="auto"/>
          <w:sz w:val="44"/>
          <w:szCs w:val="44"/>
        </w:rPr>
        <w:t>2016</w:t>
      </w:r>
      <w:r>
        <w:rPr>
          <w:rFonts w:hint="eastAsia" w:ascii="宋体" w:hAnsi="宋体"/>
          <w:b/>
          <w:color w:val="auto"/>
          <w:sz w:val="44"/>
          <w:szCs w:val="44"/>
        </w:rPr>
        <w:t>年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湛河区本级</w:t>
      </w:r>
      <w:r>
        <w:rPr>
          <w:rFonts w:hint="eastAsia" w:ascii="宋体" w:hAnsi="宋体"/>
          <w:b/>
          <w:color w:val="auto"/>
          <w:sz w:val="44"/>
          <w:szCs w:val="44"/>
        </w:rPr>
        <w:t>一般公共预算</w:t>
      </w:r>
    </w:p>
    <w:p>
      <w:pPr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收入执行情况的说明</w:t>
      </w:r>
    </w:p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>
      <w:pPr>
        <w:pStyle w:val="5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四届人大五次会议批准的2016年一般公共预算收入为66800万元，由于2016年5月1日起实行营改增政策，按营改增后新的财政体制换算，市财政局将我区财政收入换算为63191万元。执行中，经区人大常委会批准，调整一般公共收入预算为65191万元，实际完成66217万元，为调整预算的101.6%，同比增收6037万元（可比口径，下同）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shd w:val="clear" w:color="auto" w:fill="FFFFFF"/>
          <w:lang w:bidi="ar"/>
        </w:rPr>
        <w:t>增长10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%，其中税收收入完成57448万元，同比增收3576万元，增长6.6%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主要项目执行情况是：</w:t>
      </w:r>
    </w:p>
    <w:p>
      <w:pPr>
        <w:ind w:left="210" w:leftChars="1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、增值税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19241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（按营改增后可比口径，下同）。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、营业税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10792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99.7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45.9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 w:firstLine="64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、企业所得税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9020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53.8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 4</w:t>
      </w:r>
      <w:r>
        <w:rPr>
          <w:rFonts w:hint="eastAsia" w:ascii="仿宋_GB2312" w:eastAsia="仿宋_GB2312"/>
          <w:color w:val="auto"/>
          <w:sz w:val="32"/>
          <w:szCs w:val="32"/>
        </w:rPr>
        <w:t>、个人所得税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4832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100.4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5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城市维护建设税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1795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99.7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28.5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6</w:t>
      </w:r>
      <w:r>
        <w:rPr>
          <w:rFonts w:hint="eastAsia" w:ascii="仿宋_GB2312" w:eastAsia="仿宋_GB2312"/>
          <w:color w:val="auto"/>
          <w:sz w:val="32"/>
          <w:szCs w:val="32"/>
        </w:rPr>
        <w:t>、房产税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2635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7</w:t>
      </w:r>
      <w:r>
        <w:rPr>
          <w:rFonts w:hint="eastAsia" w:ascii="仿宋_GB2312" w:eastAsia="仿宋_GB2312"/>
          <w:color w:val="auto"/>
          <w:sz w:val="32"/>
          <w:szCs w:val="32"/>
        </w:rPr>
        <w:t>、印花税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1599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100.3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40.8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8</w:t>
      </w:r>
      <w:r>
        <w:rPr>
          <w:rFonts w:hint="eastAsia" w:ascii="仿宋_GB2312" w:eastAsia="仿宋_GB2312"/>
          <w:color w:val="auto"/>
          <w:sz w:val="32"/>
          <w:szCs w:val="32"/>
        </w:rPr>
        <w:t>、城镇土地使用税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1113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</w:rPr>
        <w:t>下降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21.5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</w:p>
    <w:p>
      <w:pPr>
        <w:ind w:left="210" w:leftChars="10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、土地增值税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1617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100.1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8.2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  10</w:t>
      </w:r>
      <w:r>
        <w:rPr>
          <w:rFonts w:hint="eastAsia" w:ascii="仿宋_GB2312" w:eastAsia="仿宋_GB2312"/>
          <w:color w:val="auto"/>
          <w:sz w:val="32"/>
          <w:szCs w:val="32"/>
        </w:rPr>
        <w:t>、车船税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4781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、专项收入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2068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80.4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25.7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、行政事业性收费收入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4353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146.8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62.6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</w:rPr>
        <w:t>13</w:t>
      </w:r>
      <w:r>
        <w:rPr>
          <w:rFonts w:hint="eastAsia" w:ascii="仿宋_GB2312" w:eastAsia="仿宋_GB2312"/>
          <w:color w:val="auto"/>
          <w:sz w:val="32"/>
          <w:szCs w:val="32"/>
        </w:rPr>
        <w:t>、罚没收入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460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102.2</w:t>
      </w:r>
      <w:r>
        <w:rPr>
          <w:rFonts w:asci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color w:val="auto"/>
          <w:sz w:val="32"/>
          <w:szCs w:val="32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、国有资源</w:t>
      </w:r>
      <w:r>
        <w:rPr>
          <w:rFonts w:ascii="仿宋_GB2312" w:eastAsia="仿宋_GB2312"/>
          <w:color w:val="auto"/>
          <w:sz w:val="32"/>
          <w:szCs w:val="32"/>
        </w:rPr>
        <w:t>(</w:t>
      </w:r>
      <w:r>
        <w:rPr>
          <w:rFonts w:hint="eastAsia" w:ascii="仿宋_GB2312" w:eastAsia="仿宋_GB2312"/>
          <w:color w:val="auto"/>
          <w:sz w:val="32"/>
          <w:szCs w:val="32"/>
        </w:rPr>
        <w:t>资产）有偿使用收入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958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111.8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57.8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color w:val="auto"/>
          <w:sz w:val="32"/>
          <w:szCs w:val="32"/>
        </w:rPr>
        <w:t>收入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930</w:t>
      </w:r>
      <w:r>
        <w:rPr>
          <w:rFonts w:hint="eastAsia" w:ascii="仿宋_GB2312" w:eastAsia="仿宋_GB2312"/>
          <w:color w:val="auto"/>
          <w:sz w:val="32"/>
          <w:szCs w:val="32"/>
        </w:rPr>
        <w:t>万元，为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0.2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left="210" w:leftChars="1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D072BD"/>
    <w:rsid w:val="42435849"/>
    <w:rsid w:val="6B1A4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6"/>
    <w:link w:val="4"/>
    <w:semiHidden/>
    <w:qFormat/>
    <w:uiPriority w:val="0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113</Words>
  <Characters>648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2017-01-26T00:54:00Z</dcterms:created>
  <dc:creator>Administrator</dc:creator>
  <cp:lastModifiedBy>ys</cp:lastModifiedBy>
  <dcterms:modified xsi:type="dcterms:W3CDTF">2017-05-19T01:31:06Z</dcterms:modified>
  <dc:title>薛涛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