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295"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2206"/>
        <w:gridCol w:w="684"/>
        <w:gridCol w:w="4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8" w:type="dxa"/>
            <w:textDirection w:val="tbRlV"/>
            <w:vAlign w:val="center"/>
          </w:tcPr>
          <w:p>
            <w:pPr>
              <w:rPr>
                <w:rFonts w:hint="eastAsia"/>
                <w:lang w:eastAsia="zh-CN"/>
              </w:rPr>
            </w:pPr>
            <w:r>
              <w:rPr>
                <w:rFonts w:hint="eastAsia"/>
                <w:lang w:eastAsia="zh-CN"/>
              </w:rPr>
              <w:t>股室名称</w:t>
            </w:r>
          </w:p>
        </w:tc>
        <w:tc>
          <w:tcPr>
            <w:tcW w:w="2206" w:type="dxa"/>
            <w:vAlign w:val="center"/>
          </w:tcPr>
          <w:p>
            <w:pPr>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column">
                        <wp:posOffset>605790</wp:posOffset>
                      </wp:positionH>
                      <wp:positionV relativeFrom="paragraph">
                        <wp:posOffset>-565150</wp:posOffset>
                      </wp:positionV>
                      <wp:extent cx="3770630" cy="427990"/>
                      <wp:effectExtent l="0" t="0" r="1270" b="10160"/>
                      <wp:wrapNone/>
                      <wp:docPr id="1" name="文本框 1"/>
                      <wp:cNvGraphicFramePr/>
                      <a:graphic xmlns:a="http://schemas.openxmlformats.org/drawingml/2006/main">
                        <a:graphicData uri="http://schemas.microsoft.com/office/word/2010/wordprocessingShape">
                          <wps:wsp>
                            <wps:cNvSpPr txBox="1"/>
                            <wps:spPr>
                              <a:xfrm>
                                <a:off x="2470785" y="591820"/>
                                <a:ext cx="3770630" cy="4279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eastAsia="宋体"/>
                                      <w:b/>
                                      <w:bCs/>
                                      <w:sz w:val="44"/>
                                      <w:szCs w:val="44"/>
                                      <w:lang w:val="en-US" w:eastAsia="zh-CN"/>
                                    </w:rPr>
                                  </w:pPr>
                                  <w:r>
                                    <w:rPr>
                                      <w:rFonts w:hint="eastAsia"/>
                                      <w:b/>
                                      <w:bCs/>
                                      <w:sz w:val="44"/>
                                      <w:szCs w:val="44"/>
                                      <w:lang w:val="en-US" w:eastAsia="zh-CN"/>
                                    </w:rPr>
                                    <w:t>湛河区卫生健康委岗责清单</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7.7pt;margin-top:-44.5pt;height:33.7pt;width:296.9pt;z-index:251659264;mso-width-relative:page;mso-height-relative:page;" fillcolor="#FFFFFF [3201]" filled="t" stroked="f" coordsize="21600,21600" o:gfxdata="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Q2WBt&#10;1gAAAAoBAAAPAAAAAAAAAAEAIAAAACIAAABkcnMvZG93bnJldi54bWxQSwECFAAUAAAACACHTuJA&#10;DtlcdFwCAACaBAAADgAAAAAAAAABACAAAAAlAQAAZHJzL2Uyb0RvYy54bWxQSwUGAAAAAAYABgBZ&#10;AQAA8wUAAAAA&#10;">
                      <v:fill on="t" focussize="0,0"/>
                      <v:stroke on="f" weight="0.5pt"/>
                      <v:imagedata o:title=""/>
                      <o:lock v:ext="edit" aspectratio="f"/>
                      <v:textbox>
                        <w:txbxContent>
                          <w:p>
                            <w:pPr>
                              <w:jc w:val="both"/>
                              <w:rPr>
                                <w:rFonts w:hint="default" w:eastAsia="宋体"/>
                                <w:b/>
                                <w:bCs/>
                                <w:sz w:val="44"/>
                                <w:szCs w:val="44"/>
                                <w:lang w:val="en-US" w:eastAsia="zh-CN"/>
                              </w:rPr>
                            </w:pPr>
                            <w:r>
                              <w:rPr>
                                <w:rFonts w:hint="eastAsia"/>
                                <w:b/>
                                <w:bCs/>
                                <w:sz w:val="44"/>
                                <w:szCs w:val="44"/>
                                <w:lang w:val="en-US" w:eastAsia="zh-CN"/>
                              </w:rPr>
                              <w:t>湛河区卫生健康委岗责清单</w:t>
                            </w:r>
                          </w:p>
                        </w:txbxContent>
                      </v:textbox>
                    </v:shape>
                  </w:pict>
                </mc:Fallback>
              </mc:AlternateContent>
            </w:r>
          </w:p>
          <w:p>
            <w:pPr>
              <w:tabs>
                <w:tab w:val="left" w:pos="1074"/>
              </w:tabs>
              <w:bidi w:val="0"/>
              <w:spacing w:line="480" w:lineRule="auto"/>
              <w:ind w:left="0" w:leftChars="0"/>
              <w:jc w:val="center"/>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股室职责</w:t>
            </w:r>
          </w:p>
        </w:tc>
        <w:tc>
          <w:tcPr>
            <w:tcW w:w="684" w:type="dxa"/>
            <w:textDirection w:val="tbRlV"/>
            <w:vAlign w:val="center"/>
          </w:tcPr>
          <w:p>
            <w:pPr>
              <w:rPr>
                <w:rFonts w:hint="eastAsia"/>
                <w:lang w:eastAsia="zh-CN"/>
              </w:rPr>
            </w:pPr>
            <w:r>
              <w:rPr>
                <w:rFonts w:hint="eastAsia"/>
                <w:lang w:eastAsia="zh-CN"/>
              </w:rPr>
              <w:t>职责类别</w:t>
            </w:r>
          </w:p>
        </w:tc>
        <w:tc>
          <w:tcPr>
            <w:tcW w:w="4877" w:type="dxa"/>
            <w:vAlign w:val="center"/>
          </w:tcPr>
          <w:p>
            <w:pPr>
              <w:jc w:val="center"/>
              <w:rPr>
                <w:rFonts w:hint="default" w:eastAsia="宋体"/>
                <w:vertAlign w:val="baseline"/>
                <w:lang w:val="en-US" w:eastAsia="zh-CN"/>
              </w:rPr>
            </w:pPr>
            <w:r>
              <w:rPr>
                <w:rFonts w:hint="eastAsia"/>
                <w:vertAlign w:val="baseline"/>
                <w:lang w:val="en-US"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2" w:hRule="atLeast"/>
        </w:trPr>
        <w:tc>
          <w:tcPr>
            <w:tcW w:w="528" w:type="dxa"/>
            <w:vMerge w:val="restart"/>
            <w:textDirection w:val="tbRlV"/>
            <w:vAlign w:val="center"/>
          </w:tcPr>
          <w:p>
            <w:pPr>
              <w:ind w:left="113" w:right="113" w:firstLine="2730" w:firstLineChars="1300"/>
              <w:jc w:val="center"/>
              <w:rPr>
                <w:rFonts w:hint="default" w:eastAsia="宋体"/>
                <w:vertAlign w:val="baseline"/>
                <w:lang w:val="en-US" w:eastAsia="zh-CN"/>
              </w:rPr>
            </w:pPr>
            <w:r>
              <w:rPr>
                <w:rFonts w:hint="eastAsia"/>
                <w:vertAlign w:val="baseline"/>
                <w:lang w:val="en-US" w:eastAsia="zh-CN"/>
              </w:rPr>
              <w:t>行政审批服务办公室</w:t>
            </w:r>
          </w:p>
        </w:tc>
        <w:tc>
          <w:tcPr>
            <w:tcW w:w="2206" w:type="dxa"/>
            <w:vMerge w:val="restart"/>
            <w:vAlign w:val="center"/>
          </w:tcPr>
          <w:p>
            <w:pPr>
              <w:bidi w:val="0"/>
              <w:jc w:val="both"/>
              <w:rPr>
                <w:lang w:val="en-US" w:eastAsia="zh-CN"/>
              </w:rPr>
            </w:pPr>
            <w:r>
              <w:rPr>
                <w:rFonts w:hint="eastAsia"/>
                <w:lang w:val="en-US" w:eastAsia="zh-CN"/>
              </w:rPr>
              <w:t>负责提供卫生健康行政审批项目的法律、政策、标准、办理程序的咨询和指导;负责区审批本级卫生健康许可项目和确定的其他职权中服务依申请项目的直接办理、 结果公示、档案管理;负责现场查验人员的管理和监督;负责编制本系统行政审批标准体系。</w:t>
            </w:r>
          </w:p>
          <w:p>
            <w:pPr>
              <w:bidi w:val="0"/>
              <w:jc w:val="both"/>
              <w:rPr>
                <w:lang w:val="en-US" w:eastAsia="zh-CN"/>
              </w:rPr>
            </w:pPr>
          </w:p>
        </w:tc>
        <w:tc>
          <w:tcPr>
            <w:tcW w:w="684" w:type="dxa"/>
            <w:vMerge w:val="restart"/>
            <w:textDirection w:val="tbRlV"/>
            <w:vAlign w:val="center"/>
          </w:tcPr>
          <w:p>
            <w:pPr>
              <w:ind w:left="113" w:right="113" w:firstLine="630" w:firstLineChars="300"/>
              <w:jc w:val="center"/>
              <w:rPr>
                <w:rFonts w:hint="default" w:eastAsia="宋体"/>
                <w:vertAlign w:val="baseline"/>
                <w:lang w:val="en-US" w:eastAsia="zh-CN"/>
              </w:rPr>
            </w:pPr>
            <w:r>
              <w:rPr>
                <w:rFonts w:hint="eastAsia"/>
                <w:vertAlign w:val="baseline"/>
                <w:lang w:val="en-US" w:eastAsia="zh-CN"/>
              </w:rPr>
              <w:t>行政许可</w:t>
            </w:r>
          </w:p>
        </w:tc>
        <w:tc>
          <w:tcPr>
            <w:tcW w:w="4877" w:type="dxa"/>
            <w:vAlign w:val="center"/>
          </w:tcPr>
          <w:p>
            <w:pPr>
              <w:jc w:val="both"/>
              <w:rPr>
                <w:vertAlign w:val="baseline"/>
              </w:rPr>
            </w:pPr>
            <w:r>
              <w:rPr>
                <w:rFonts w:hint="eastAsia"/>
                <w:vertAlign w:val="baseline"/>
              </w:rPr>
              <w:t>受理岗</w:t>
            </w:r>
            <w:r>
              <w:rPr>
                <w:rFonts w:hint="eastAsia"/>
                <w:vertAlign w:val="baseline"/>
                <w:lang w:eastAsia="zh-CN"/>
              </w:rPr>
              <w:t>：</w:t>
            </w:r>
            <w:r>
              <w:rPr>
                <w:rFonts w:hint="eastAsia"/>
                <w:vertAlign w:val="baseline"/>
              </w:rPr>
              <w:t>受理①医疗机构设置审批;②医疗机构执业登记;</w:t>
            </w:r>
            <w:bookmarkStart w:id="0" w:name="_GoBack"/>
            <w:r>
              <w:rPr>
                <w:rFonts w:hint="eastAsia"/>
                <w:vertAlign w:val="baseline"/>
              </w:rPr>
              <w:t>③</w:t>
            </w:r>
            <w:bookmarkEnd w:id="0"/>
            <w:r>
              <w:rPr>
                <w:rFonts w:hint="eastAsia"/>
                <w:vertAlign w:val="baseline"/>
              </w:rPr>
              <w:t>医师执</w:t>
            </w:r>
            <w:r>
              <w:rPr>
                <w:rFonts w:hint="eastAsia"/>
                <w:vertAlign w:val="baseline"/>
                <w:lang w:val="en-US" w:eastAsia="zh-CN"/>
              </w:rPr>
              <w:t>业注册</w:t>
            </w:r>
            <w:r>
              <w:rPr>
                <w:rFonts w:hint="eastAsia"/>
                <w:vertAlign w:val="baseline"/>
              </w:rPr>
              <w:t>④外籍医师来华短期执业许可台湾地区医师在大陆短期执业许可</w:t>
            </w:r>
            <w:r>
              <w:rPr>
                <w:rFonts w:hint="eastAsia"/>
                <w:vertAlign w:val="baseline"/>
                <w:lang w:eastAsia="zh-CN"/>
              </w:rPr>
              <w:t>，</w:t>
            </w:r>
            <w:r>
              <w:rPr>
                <w:rFonts w:hint="eastAsia"/>
                <w:vertAlign w:val="baseline"/>
              </w:rPr>
              <w:t>香港、</w:t>
            </w:r>
            <w:r>
              <w:rPr>
                <w:rFonts w:hint="eastAsia"/>
                <w:vertAlign w:val="baseline"/>
                <w:lang w:val="en-US" w:eastAsia="zh-CN"/>
              </w:rPr>
              <w:t>澳门、特</w:t>
            </w:r>
            <w:r>
              <w:rPr>
                <w:rFonts w:hint="eastAsia"/>
                <w:vertAlign w:val="baseline"/>
              </w:rPr>
              <w:t>别行政区医师在内地短期执业许可;⑤护士执业注册;⑥麻醉药品和第</w:t>
            </w:r>
            <w:r>
              <w:rPr>
                <w:rFonts w:hint="eastAsia"/>
                <w:vertAlign w:val="baseline"/>
                <w:lang w:val="en-US" w:eastAsia="zh-CN"/>
              </w:rPr>
              <w:t>一类精神</w:t>
            </w:r>
            <w:r>
              <w:rPr>
                <w:rFonts w:hint="eastAsia"/>
                <w:vertAlign w:val="baseline"/>
              </w:rPr>
              <w:t>药品购用许可;⑦医疗</w:t>
            </w:r>
            <w:r>
              <w:rPr>
                <w:rFonts w:hint="eastAsia"/>
                <w:vertAlign w:val="baseline"/>
                <w:lang w:eastAsia="zh-CN"/>
              </w:rPr>
              <w:t>广</w:t>
            </w:r>
            <w:r>
              <w:rPr>
                <w:rFonts w:hint="eastAsia"/>
                <w:vertAlign w:val="baseline"/>
              </w:rPr>
              <w:t>告审查;⑧饮用水供水单位卫生许可;⑨公共</w:t>
            </w:r>
            <w:r>
              <w:rPr>
                <w:rFonts w:hint="eastAsia"/>
                <w:vertAlign w:val="baseline"/>
                <w:lang w:val="en-US" w:eastAsia="zh-CN"/>
              </w:rPr>
              <w:t>场所卫生</w:t>
            </w:r>
            <w:r>
              <w:rPr>
                <w:rFonts w:hint="eastAsia"/>
                <w:vertAlign w:val="baseline"/>
              </w:rPr>
              <w:t xml:space="preserve">许可; </w:t>
            </w:r>
            <w:r>
              <w:rPr>
                <w:rFonts w:hint="eastAsia" w:asciiTheme="minorEastAsia" w:hAnsiTheme="minorEastAsia" w:eastAsiaTheme="minorEastAsia" w:cstheme="minorEastAsia"/>
                <w:vertAlign w:val="baseline"/>
                <w:lang w:val="en-US" w:eastAsia="zh-CN"/>
              </w:rPr>
              <w:t>⑩</w:t>
            </w:r>
            <w:r>
              <w:rPr>
                <w:rFonts w:hint="eastAsia"/>
                <w:vertAlign w:val="baseline"/>
              </w:rPr>
              <w:t>放射源诊疗技术和医用辐射机构许可;</w:t>
            </w:r>
            <w:r>
              <w:rPr>
                <w:rFonts w:hint="eastAsia" w:asciiTheme="minorEastAsia" w:hAnsiTheme="minorEastAsia" w:eastAsiaTheme="minorEastAsia" w:cstheme="minorEastAsia"/>
                <w:vertAlign w:val="baseline"/>
              </w:rPr>
              <w:t>⑪</w:t>
            </w:r>
            <w:r>
              <w:rPr>
                <w:rFonts w:hint="eastAsia"/>
                <w:vertAlign w:val="baseline"/>
              </w:rPr>
              <w:t>医疗机构放射性职业</w:t>
            </w:r>
            <w:r>
              <w:rPr>
                <w:rFonts w:hint="eastAsia"/>
                <w:vertAlign w:val="baseline"/>
                <w:lang w:val="en-US" w:eastAsia="zh-CN"/>
              </w:rPr>
              <w:t>病危害建</w:t>
            </w:r>
            <w:r>
              <w:rPr>
                <w:rFonts w:hint="eastAsia"/>
                <w:vertAlign w:val="baseline"/>
              </w:rPr>
              <w:t xml:space="preserve">设项目预评价报告审核; </w:t>
            </w:r>
            <w:r>
              <w:rPr>
                <w:rFonts w:hint="eastAsia" w:asciiTheme="minorEastAsia" w:hAnsiTheme="minorEastAsia" w:eastAsiaTheme="minorEastAsia" w:cstheme="minorEastAsia"/>
                <w:vertAlign w:val="baseline"/>
              </w:rPr>
              <w:t>⑫</w:t>
            </w:r>
            <w:r>
              <w:rPr>
                <w:rFonts w:hint="eastAsia"/>
                <w:vertAlign w:val="baseline"/>
              </w:rPr>
              <w:t>医疗机构放射性职业病危害建设项目竣</w:t>
            </w:r>
            <w:r>
              <w:rPr>
                <w:rFonts w:hint="eastAsia"/>
                <w:vertAlign w:val="baseline"/>
                <w:lang w:val="en-US" w:eastAsia="zh-CN"/>
              </w:rPr>
              <w:t>工验接收</w:t>
            </w:r>
            <w:r>
              <w:rPr>
                <w:rFonts w:hint="eastAsia"/>
                <w:vertAlign w:val="baseline"/>
              </w:rPr>
              <w:t>行政许可申请材料;经机关负责人审批。依法受理或不予受理;不予受</w:t>
            </w:r>
            <w:r>
              <w:rPr>
                <w:rFonts w:hint="eastAsia"/>
                <w:vertAlign w:val="baseline"/>
                <w:lang w:val="en-US" w:eastAsia="zh-CN"/>
              </w:rPr>
              <w:t>理的依法</w:t>
            </w:r>
            <w:r>
              <w:rPr>
                <w:rFonts w:hint="eastAsia"/>
                <w:vertAlign w:val="baseline"/>
              </w:rPr>
              <w:t>告知理由;申请材料不齐全的，</w:t>
            </w:r>
            <w:r>
              <w:rPr>
                <w:rFonts w:hint="eastAsia"/>
                <w:vertAlign w:val="baseline"/>
                <w:lang w:val="en-US" w:eastAsia="zh-CN"/>
              </w:rPr>
              <w:t>一</w:t>
            </w:r>
            <w:r>
              <w:rPr>
                <w:rFonts w:hint="eastAsia"/>
                <w:vertAlign w:val="baseline"/>
              </w:rPr>
              <w:t>次性告知需补正的材料。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6" w:hRule="atLeast"/>
        </w:trPr>
        <w:tc>
          <w:tcPr>
            <w:tcW w:w="528" w:type="dxa"/>
            <w:vMerge w:val="continue"/>
            <w:vAlign w:val="center"/>
          </w:tcPr>
          <w:p>
            <w:pPr>
              <w:jc w:val="center"/>
            </w:pPr>
          </w:p>
        </w:tc>
        <w:tc>
          <w:tcPr>
            <w:tcW w:w="2206" w:type="dxa"/>
            <w:vMerge w:val="continue"/>
            <w:vAlign w:val="center"/>
          </w:tcPr>
          <w:p>
            <w:pPr>
              <w:jc w:val="center"/>
            </w:pPr>
          </w:p>
        </w:tc>
        <w:tc>
          <w:tcPr>
            <w:tcW w:w="684" w:type="dxa"/>
            <w:vMerge w:val="continue"/>
            <w:vAlign w:val="center"/>
          </w:tcPr>
          <w:p>
            <w:pPr>
              <w:jc w:val="center"/>
            </w:pPr>
          </w:p>
        </w:tc>
        <w:tc>
          <w:tcPr>
            <w:tcW w:w="4877" w:type="dxa"/>
            <w:vAlign w:val="center"/>
          </w:tcPr>
          <w:p>
            <w:pPr>
              <w:jc w:val="both"/>
              <w:rPr>
                <w:vertAlign w:val="baseline"/>
              </w:rPr>
            </w:pPr>
            <w:r>
              <w:rPr>
                <w:rFonts w:hint="eastAsia"/>
                <w:vertAlign w:val="baseline"/>
              </w:rPr>
              <w:t>审查岗</w:t>
            </w:r>
            <w:r>
              <w:rPr>
                <w:rFonts w:hint="eastAsia"/>
                <w:vertAlign w:val="baseline"/>
                <w:lang w:eastAsia="zh-CN"/>
              </w:rPr>
              <w:t>：</w:t>
            </w:r>
            <w:r>
              <w:rPr>
                <w:rFonts w:hint="eastAsia"/>
                <w:vertAlign w:val="baseline"/>
              </w:rPr>
              <w:t>材料审查;需要现场核查的，组织专家现场核查，并书面告</w:t>
            </w:r>
            <w:r>
              <w:rPr>
                <w:rFonts w:hint="eastAsia"/>
                <w:vertAlign w:val="baseline"/>
                <w:lang w:val="en-US" w:eastAsia="zh-CN"/>
              </w:rPr>
              <w:t>知申请</w:t>
            </w:r>
            <w:r>
              <w:rPr>
                <w:rFonts w:hint="eastAsia"/>
                <w:vertAlign w:val="baseline"/>
              </w:rPr>
              <w:t>人:根据需要征求有关部门意见 ;提出初审意见。 涉及他人重大利益的</w:t>
            </w:r>
            <w:r>
              <w:rPr>
                <w:rFonts w:hint="eastAsia"/>
                <w:vertAlign w:val="baseline"/>
                <w:lang w:val="en-US" w:eastAsia="zh-CN"/>
              </w:rPr>
              <w:t>告知审</w:t>
            </w:r>
            <w:r>
              <w:rPr>
                <w:rFonts w:hint="eastAsia"/>
                <w:vertAlign w:val="baseline"/>
              </w:rPr>
              <w:t>请人</w:t>
            </w:r>
            <w:r>
              <w:rPr>
                <w:rFonts w:hint="eastAsia"/>
                <w:vertAlign w:val="baseline"/>
                <w:lang w:val="en-US" w:eastAsia="zh-CN"/>
              </w:rPr>
              <w:t>和</w:t>
            </w:r>
            <w:r>
              <w:rPr>
                <w:rFonts w:hint="eastAsia"/>
                <w:vertAlign w:val="baseline"/>
              </w:rPr>
              <w:t>利害关系人陈述申辩权;依法应当听证或行政机关认为需要听证</w:t>
            </w:r>
            <w:r>
              <w:rPr>
                <w:rFonts w:hint="eastAsia"/>
                <w:vertAlign w:val="baseline"/>
                <w:lang w:val="en-US" w:eastAsia="zh-CN"/>
              </w:rPr>
              <w:t>的告知</w:t>
            </w:r>
            <w:r>
              <w:rPr>
                <w:rFonts w:hint="eastAsia"/>
                <w:vertAlign w:val="baseline"/>
              </w:rPr>
              <w:t>申请人、利害关系人听证权。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8" w:type="dxa"/>
            <w:vMerge w:val="continue"/>
            <w:vAlign w:val="center"/>
          </w:tcPr>
          <w:p>
            <w:pPr>
              <w:jc w:val="center"/>
              <w:rPr>
                <w:vertAlign w:val="baseline"/>
              </w:rPr>
            </w:pPr>
          </w:p>
        </w:tc>
        <w:tc>
          <w:tcPr>
            <w:tcW w:w="2206" w:type="dxa"/>
            <w:vMerge w:val="continue"/>
            <w:vAlign w:val="center"/>
          </w:tcPr>
          <w:p>
            <w:pPr>
              <w:jc w:val="center"/>
              <w:rPr>
                <w:vertAlign w:val="baseline"/>
              </w:rPr>
            </w:pPr>
          </w:p>
        </w:tc>
        <w:tc>
          <w:tcPr>
            <w:tcW w:w="684" w:type="dxa"/>
            <w:vMerge w:val="continue"/>
            <w:vAlign w:val="center"/>
          </w:tcPr>
          <w:p>
            <w:pPr>
              <w:jc w:val="center"/>
              <w:rPr>
                <w:vertAlign w:val="baseline"/>
              </w:rPr>
            </w:pPr>
          </w:p>
        </w:tc>
        <w:tc>
          <w:tcPr>
            <w:tcW w:w="4877" w:type="dxa"/>
            <w:vAlign w:val="center"/>
          </w:tcPr>
          <w:p>
            <w:pPr>
              <w:jc w:val="both"/>
              <w:rPr>
                <w:rFonts w:hint="eastAsia" w:eastAsia="宋体"/>
                <w:vertAlign w:val="baseline"/>
                <w:lang w:eastAsia="zh-CN"/>
              </w:rPr>
            </w:pPr>
            <w:r>
              <w:rPr>
                <w:rFonts w:hint="eastAsia"/>
                <w:vertAlign w:val="baseline"/>
              </w:rPr>
              <w:t>决定岗</w:t>
            </w:r>
            <w:r>
              <w:rPr>
                <w:rFonts w:hint="eastAsia"/>
                <w:vertAlign w:val="baseline"/>
                <w:lang w:eastAsia="zh-CN"/>
              </w:rPr>
              <w:t>：</w:t>
            </w:r>
            <w:r>
              <w:rPr>
                <w:rFonts w:hint="eastAsia"/>
                <w:vertAlign w:val="baseline"/>
              </w:rPr>
              <w:t>经机关负责人审批，作出决定;对于不予行政许可</w:t>
            </w:r>
            <w:r>
              <w:rPr>
                <w:rFonts w:hint="eastAsia"/>
                <w:vertAlign w:val="baseline"/>
                <w:lang w:val="en-US" w:eastAsia="zh-CN"/>
              </w:rPr>
              <w:t>决定</w:t>
            </w:r>
            <w:r>
              <w:rPr>
                <w:rFonts w:hint="eastAsia"/>
                <w:vertAlign w:val="baseline"/>
              </w:rPr>
              <w:t>的，书面</w:t>
            </w:r>
            <w:r>
              <w:rPr>
                <w:rFonts w:hint="eastAsia"/>
                <w:vertAlign w:val="baseline"/>
                <w:lang w:val="en-US" w:eastAsia="zh-CN"/>
              </w:rPr>
              <w:t>告知申请人</w:t>
            </w:r>
            <w:r>
              <w:rPr>
                <w:rFonts w:hint="eastAsia"/>
                <w:vertAlign w:val="baseline"/>
                <w:lang w:eastAsia="zh-CN"/>
              </w:rPr>
              <w:t>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528" w:type="dxa"/>
            <w:vMerge w:val="continue"/>
            <w:vAlign w:val="center"/>
          </w:tcPr>
          <w:p>
            <w:pPr>
              <w:jc w:val="center"/>
              <w:rPr>
                <w:vertAlign w:val="baseline"/>
              </w:rPr>
            </w:pPr>
          </w:p>
        </w:tc>
        <w:tc>
          <w:tcPr>
            <w:tcW w:w="2206" w:type="dxa"/>
            <w:vMerge w:val="continue"/>
            <w:vAlign w:val="center"/>
          </w:tcPr>
          <w:p>
            <w:pPr>
              <w:jc w:val="center"/>
              <w:rPr>
                <w:vertAlign w:val="baseline"/>
              </w:rPr>
            </w:pPr>
          </w:p>
        </w:tc>
        <w:tc>
          <w:tcPr>
            <w:tcW w:w="684" w:type="dxa"/>
            <w:vMerge w:val="continue"/>
            <w:vAlign w:val="center"/>
          </w:tcPr>
          <w:p>
            <w:pPr>
              <w:jc w:val="center"/>
              <w:rPr>
                <w:vertAlign w:val="baseline"/>
              </w:rPr>
            </w:pPr>
          </w:p>
        </w:tc>
        <w:tc>
          <w:tcPr>
            <w:tcW w:w="4877" w:type="dxa"/>
            <w:vAlign w:val="center"/>
          </w:tcPr>
          <w:p>
            <w:pPr>
              <w:jc w:val="both"/>
              <w:rPr>
                <w:rFonts w:hint="eastAsia" w:eastAsia="宋体"/>
                <w:vertAlign w:val="baseline"/>
                <w:lang w:eastAsia="zh-CN"/>
              </w:rPr>
            </w:pPr>
            <w:r>
              <w:rPr>
                <w:rFonts w:hint="eastAsia"/>
                <w:vertAlign w:val="baseline"/>
              </w:rPr>
              <w:t>送达岗</w:t>
            </w:r>
            <w:r>
              <w:rPr>
                <w:rFonts w:hint="eastAsia"/>
                <w:vertAlign w:val="baseline"/>
                <w:lang w:val="en-US" w:eastAsia="zh-CN"/>
              </w:rPr>
              <w:t>：</w:t>
            </w:r>
            <w:r>
              <w:rPr>
                <w:rFonts w:hint="eastAsia"/>
                <w:vertAlign w:val="baseline"/>
              </w:rPr>
              <w:t>制作送达文书;将行政许可决定送达当事人;对准予行政许</w:t>
            </w:r>
            <w:r>
              <w:rPr>
                <w:rFonts w:hint="eastAsia"/>
                <w:vertAlign w:val="baseline"/>
                <w:lang w:eastAsia="zh-CN"/>
              </w:rPr>
              <w:t>可</w:t>
            </w:r>
            <w:r>
              <w:rPr>
                <w:rFonts w:hint="eastAsia"/>
                <w:vertAlign w:val="baseline"/>
                <w:lang w:val="en-US" w:eastAsia="zh-CN"/>
              </w:rPr>
              <w:t>决定</w:t>
            </w:r>
            <w:r>
              <w:rPr>
                <w:rFonts w:hint="eastAsia"/>
                <w:vertAlign w:val="baseline"/>
                <w:lang w:eastAsia="zh-CN"/>
              </w:rPr>
              <w:t>的，应当公开供公共查询。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5" w:hRule="atLeast"/>
        </w:trPr>
        <w:tc>
          <w:tcPr>
            <w:tcW w:w="528" w:type="dxa"/>
            <w:vMerge w:val="continue"/>
            <w:vAlign w:val="center"/>
          </w:tcPr>
          <w:p>
            <w:pPr>
              <w:jc w:val="center"/>
            </w:pPr>
          </w:p>
        </w:tc>
        <w:tc>
          <w:tcPr>
            <w:tcW w:w="2206" w:type="dxa"/>
            <w:vMerge w:val="continue"/>
            <w:vAlign w:val="center"/>
          </w:tcPr>
          <w:p>
            <w:pPr>
              <w:jc w:val="center"/>
            </w:pPr>
          </w:p>
        </w:tc>
        <w:tc>
          <w:tcPr>
            <w:tcW w:w="684" w:type="dxa"/>
            <w:vMerge w:val="restart"/>
            <w:textDirection w:val="tbRlV"/>
            <w:vAlign w:val="center"/>
          </w:tcPr>
          <w:p>
            <w:pPr>
              <w:ind w:right="113" w:firstLine="1260" w:firstLineChars="600"/>
              <w:jc w:val="both"/>
              <w:rPr>
                <w:rFonts w:hint="eastAsia" w:eastAsia="宋体"/>
                <w:vertAlign w:val="baseline"/>
                <w:lang w:eastAsia="zh-CN"/>
              </w:rPr>
            </w:pPr>
            <w:r>
              <w:rPr>
                <w:rFonts w:hint="eastAsia"/>
                <w:vertAlign w:val="baseline"/>
                <w:lang w:eastAsia="zh-CN"/>
              </w:rPr>
              <w:t>其他职权</w:t>
            </w:r>
          </w:p>
        </w:tc>
        <w:tc>
          <w:tcPr>
            <w:tcW w:w="4877" w:type="dxa"/>
            <w:vAlign w:val="center"/>
          </w:tcPr>
          <w:p>
            <w:pPr>
              <w:jc w:val="both"/>
              <w:rPr>
                <w:vertAlign w:val="baseline"/>
              </w:rPr>
            </w:pPr>
            <w:r>
              <w:rPr>
                <w:rFonts w:hint="eastAsia"/>
                <w:vertAlign w:val="baseline"/>
              </w:rPr>
              <w:t>受理岗</w:t>
            </w:r>
            <w:r>
              <w:rPr>
                <w:rFonts w:hint="eastAsia"/>
                <w:vertAlign w:val="baseline"/>
                <w:lang w:val="en-US" w:eastAsia="zh-CN"/>
              </w:rPr>
              <w:t>：</w:t>
            </w:r>
            <w:r>
              <w:rPr>
                <w:rFonts w:hint="eastAsia"/>
                <w:vertAlign w:val="baseline"/>
              </w:rPr>
              <w:t>受理①放射源诊疗技术和医用辐射机构许可校验;</w:t>
            </w:r>
            <w:r>
              <w:rPr>
                <w:rFonts w:hint="eastAsia" w:asciiTheme="minorEastAsia" w:hAnsiTheme="minorEastAsia" w:eastAsiaTheme="minorEastAsia" w:cstheme="minorEastAsia"/>
                <w:vertAlign w:val="baseline"/>
              </w:rPr>
              <w:t>②</w:t>
            </w:r>
            <w:r>
              <w:rPr>
                <w:rFonts w:hint="eastAsia"/>
                <w:vertAlign w:val="baseline"/>
              </w:rPr>
              <w:t>医疗机</w:t>
            </w:r>
            <w:r>
              <w:rPr>
                <w:rFonts w:hint="eastAsia"/>
                <w:vertAlign w:val="baseline"/>
                <w:lang w:val="en-US" w:eastAsia="zh-CN"/>
              </w:rPr>
              <w:t>构效验</w:t>
            </w:r>
            <w:r>
              <w:rPr>
                <w:rFonts w:hint="eastAsia"/>
                <w:vertAlign w:val="baseline"/>
              </w:rPr>
              <w:t>③医疗美容主诊医师备案。接收申请材料;经机关负责人审批，依法受理</w:t>
            </w:r>
            <w:r>
              <w:rPr>
                <w:rFonts w:hint="eastAsia"/>
                <w:vertAlign w:val="baseline"/>
                <w:lang w:val="en-US" w:eastAsia="zh-CN"/>
              </w:rPr>
              <w:t>或</w:t>
            </w:r>
            <w:r>
              <w:rPr>
                <w:rFonts w:hint="eastAsia"/>
                <w:vertAlign w:val="baseline"/>
              </w:rPr>
              <w:t>不予受理</w:t>
            </w:r>
            <w:r>
              <w:rPr>
                <w:rFonts w:hint="eastAsia"/>
                <w:vertAlign w:val="baseline"/>
                <w:lang w:eastAsia="zh-CN"/>
              </w:rPr>
              <w:t>；</w:t>
            </w:r>
            <w:r>
              <w:rPr>
                <w:rFonts w:hint="eastAsia"/>
                <w:vertAlign w:val="baseline"/>
                <w:lang w:val="en-US" w:eastAsia="zh-CN"/>
              </w:rPr>
              <w:t>不予受理</w:t>
            </w:r>
            <w:r>
              <w:rPr>
                <w:rFonts w:hint="eastAsia"/>
                <w:vertAlign w:val="baseline"/>
              </w:rPr>
              <w:t>的依法告知理由;申请材料不齐全的，</w:t>
            </w:r>
            <w:r>
              <w:rPr>
                <w:rFonts w:hint="eastAsia"/>
                <w:vertAlign w:val="baseline"/>
                <w:lang w:eastAsia="zh-CN"/>
              </w:rPr>
              <w:t>一</w:t>
            </w:r>
            <w:r>
              <w:rPr>
                <w:rFonts w:hint="eastAsia"/>
                <w:vertAlign w:val="baseline"/>
              </w:rPr>
              <w:t>次性告知需补</w:t>
            </w:r>
            <w:r>
              <w:rPr>
                <w:rFonts w:hint="eastAsia"/>
                <w:vertAlign w:val="baseline"/>
                <w:lang w:val="en-US" w:eastAsia="zh-CN"/>
              </w:rPr>
              <w:t>证的</w:t>
            </w:r>
            <w:r>
              <w:rPr>
                <w:rFonts w:hint="eastAsia"/>
                <w:vertAlign w:val="baseline"/>
                <w:lang w:eastAsia="zh-CN"/>
              </w:rPr>
              <w:t>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8" w:type="dxa"/>
            <w:vMerge w:val="continue"/>
            <w:vAlign w:val="center"/>
          </w:tcPr>
          <w:p>
            <w:pPr>
              <w:jc w:val="center"/>
            </w:pPr>
          </w:p>
        </w:tc>
        <w:tc>
          <w:tcPr>
            <w:tcW w:w="2206" w:type="dxa"/>
            <w:vMerge w:val="continue"/>
            <w:vAlign w:val="center"/>
          </w:tcPr>
          <w:p>
            <w:pPr>
              <w:jc w:val="center"/>
            </w:pPr>
          </w:p>
        </w:tc>
        <w:tc>
          <w:tcPr>
            <w:tcW w:w="684" w:type="dxa"/>
            <w:vMerge w:val="continue"/>
            <w:textDirection w:val="tbRlV"/>
            <w:vAlign w:val="center"/>
          </w:tcPr>
          <w:p>
            <w:pPr>
              <w:ind w:left="113" w:right="113"/>
              <w:jc w:val="center"/>
            </w:pPr>
          </w:p>
        </w:tc>
        <w:tc>
          <w:tcPr>
            <w:tcW w:w="4877" w:type="dxa"/>
            <w:vAlign w:val="center"/>
          </w:tcPr>
          <w:p>
            <w:pPr>
              <w:jc w:val="both"/>
              <w:rPr>
                <w:vertAlign w:val="baseline"/>
              </w:rPr>
            </w:pPr>
            <w:r>
              <w:rPr>
                <w:rFonts w:hint="eastAsia"/>
                <w:vertAlign w:val="baseline"/>
              </w:rPr>
              <w:t>审查岗</w:t>
            </w:r>
            <w:r>
              <w:rPr>
                <w:rFonts w:hint="eastAsia"/>
                <w:vertAlign w:val="baseline"/>
                <w:lang w:val="en-US" w:eastAsia="zh-CN"/>
              </w:rPr>
              <w:t>：</w:t>
            </w:r>
            <w:r>
              <w:rPr>
                <w:rFonts w:hint="eastAsia"/>
                <w:vertAlign w:val="baseline"/>
              </w:rPr>
              <w:t>材料审查;需要现场核查的，组织专家现场核查</w:t>
            </w:r>
            <w:r>
              <w:rPr>
                <w:rFonts w:hint="eastAsia"/>
                <w:vertAlign w:val="baseline"/>
                <w:lang w:eastAsia="zh-CN"/>
              </w:rPr>
              <w:t>，</w:t>
            </w:r>
            <w:r>
              <w:rPr>
                <w:rFonts w:hint="eastAsia"/>
                <w:vertAlign w:val="baseline"/>
              </w:rPr>
              <w:t>并书面告</w:t>
            </w:r>
            <w:r>
              <w:rPr>
                <w:rFonts w:hint="eastAsia"/>
                <w:vertAlign w:val="baseline"/>
                <w:lang w:val="en-US" w:eastAsia="zh-CN"/>
              </w:rPr>
              <w:t>知申请人</w:t>
            </w:r>
            <w:r>
              <w:rPr>
                <w:rFonts w:hint="eastAsia"/>
                <w:vertAlign w:val="baseline"/>
              </w:rPr>
              <w:t>;根据需要征求有关部门意见;提出初审意见.涉及他人重大利益的</w:t>
            </w:r>
            <w:r>
              <w:rPr>
                <w:rFonts w:hint="eastAsia"/>
                <w:vertAlign w:val="baseline"/>
                <w:lang w:val="en-US" w:eastAsia="zh-CN"/>
              </w:rPr>
              <w:t>告知</w:t>
            </w:r>
            <w:r>
              <w:rPr>
                <w:rFonts w:hint="eastAsia"/>
                <w:vertAlign w:val="baseline"/>
                <w:lang w:eastAsia="zh-CN"/>
              </w:rPr>
              <w:t>申</w:t>
            </w:r>
            <w:r>
              <w:rPr>
                <w:rFonts w:hint="eastAsia"/>
                <w:vertAlign w:val="baseline"/>
              </w:rPr>
              <w:t>请人和利害关系人陈述申辩权;依法应当听证或行政机关认为需要听证</w:t>
            </w:r>
            <w:r>
              <w:rPr>
                <w:rFonts w:hint="eastAsia"/>
                <w:vertAlign w:val="baseline"/>
                <w:lang w:val="en-US" w:eastAsia="zh-CN"/>
              </w:rPr>
              <w:t>的告知申请人，并说明理由</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528" w:type="dxa"/>
            <w:vMerge w:val="continue"/>
            <w:vAlign w:val="center"/>
          </w:tcPr>
          <w:p>
            <w:pPr>
              <w:jc w:val="center"/>
              <w:rPr>
                <w:vertAlign w:val="baseline"/>
              </w:rPr>
            </w:pPr>
          </w:p>
        </w:tc>
        <w:tc>
          <w:tcPr>
            <w:tcW w:w="2206" w:type="dxa"/>
            <w:vMerge w:val="continue"/>
            <w:vAlign w:val="center"/>
          </w:tcPr>
          <w:p>
            <w:pPr>
              <w:jc w:val="center"/>
              <w:rPr>
                <w:vertAlign w:val="baseline"/>
              </w:rPr>
            </w:pPr>
          </w:p>
        </w:tc>
        <w:tc>
          <w:tcPr>
            <w:tcW w:w="684" w:type="dxa"/>
            <w:vMerge w:val="continue"/>
            <w:textDirection w:val="tbRlV"/>
            <w:vAlign w:val="center"/>
          </w:tcPr>
          <w:p>
            <w:pPr>
              <w:ind w:left="113" w:right="113"/>
              <w:jc w:val="center"/>
              <w:rPr>
                <w:vertAlign w:val="baseline"/>
              </w:rPr>
            </w:pPr>
          </w:p>
        </w:tc>
        <w:tc>
          <w:tcPr>
            <w:tcW w:w="4877" w:type="dxa"/>
            <w:vAlign w:val="center"/>
          </w:tcPr>
          <w:p>
            <w:pPr>
              <w:jc w:val="both"/>
              <w:rPr>
                <w:vertAlign w:val="baseline"/>
              </w:rPr>
            </w:pPr>
            <w:r>
              <w:rPr>
                <w:rFonts w:hint="eastAsia"/>
                <w:vertAlign w:val="baseline"/>
              </w:rPr>
              <w:t>决定岗</w:t>
            </w:r>
            <w:r>
              <w:rPr>
                <w:rFonts w:hint="eastAsia"/>
                <w:vertAlign w:val="baseline"/>
                <w:lang w:val="en-US" w:eastAsia="zh-CN"/>
              </w:rPr>
              <w:t>：</w:t>
            </w:r>
            <w:r>
              <w:rPr>
                <w:rFonts w:hint="eastAsia"/>
                <w:vertAlign w:val="baseline"/>
              </w:rPr>
              <w:t>经机关负责人审批，作出决定;对于不予受理的，书</w:t>
            </w:r>
            <w:r>
              <w:rPr>
                <w:rFonts w:hint="eastAsia"/>
                <w:vertAlign w:val="baseline"/>
                <w:lang w:val="en-US" w:eastAsia="zh-CN"/>
              </w:rPr>
              <w:t>面告知</w:t>
            </w:r>
            <w:r>
              <w:rPr>
                <w:rFonts w:hint="eastAsia"/>
                <w:vertAlign w:val="baseline"/>
              </w:rPr>
              <w:t>申请人，并说明理由。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528" w:type="dxa"/>
            <w:vMerge w:val="continue"/>
            <w:vAlign w:val="center"/>
          </w:tcPr>
          <w:p>
            <w:pPr>
              <w:jc w:val="center"/>
              <w:rPr>
                <w:vertAlign w:val="baseline"/>
              </w:rPr>
            </w:pPr>
          </w:p>
        </w:tc>
        <w:tc>
          <w:tcPr>
            <w:tcW w:w="2206" w:type="dxa"/>
            <w:vMerge w:val="continue"/>
            <w:vAlign w:val="center"/>
          </w:tcPr>
          <w:p>
            <w:pPr>
              <w:jc w:val="center"/>
              <w:rPr>
                <w:vertAlign w:val="baseline"/>
              </w:rPr>
            </w:pPr>
          </w:p>
        </w:tc>
        <w:tc>
          <w:tcPr>
            <w:tcW w:w="684" w:type="dxa"/>
            <w:vMerge w:val="continue"/>
            <w:textDirection w:val="tbRlV"/>
            <w:vAlign w:val="center"/>
          </w:tcPr>
          <w:p>
            <w:pPr>
              <w:ind w:left="113" w:right="113"/>
              <w:jc w:val="center"/>
              <w:rPr>
                <w:vertAlign w:val="baseline"/>
              </w:rPr>
            </w:pPr>
          </w:p>
        </w:tc>
        <w:tc>
          <w:tcPr>
            <w:tcW w:w="4877" w:type="dxa"/>
            <w:vAlign w:val="center"/>
          </w:tcPr>
          <w:p>
            <w:pPr>
              <w:jc w:val="both"/>
              <w:rPr>
                <w:rFonts w:hint="eastAsia" w:eastAsia="宋体"/>
                <w:vertAlign w:val="baseline"/>
                <w:lang w:eastAsia="zh-CN"/>
              </w:rPr>
            </w:pPr>
            <w:r>
              <w:rPr>
                <w:rFonts w:hint="eastAsia"/>
                <w:vertAlign w:val="baseline"/>
              </w:rPr>
              <w:t>送达岗:制作送达文书;将行政决定送达当事人。</w:t>
            </w:r>
          </w:p>
        </w:tc>
      </w:tr>
    </w:tbl>
    <w:p/>
    <w:p/>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070"/>
        <w:gridCol w:w="1069"/>
        <w:gridCol w:w="4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104" w:type="dxa"/>
            <w:vAlign w:val="center"/>
          </w:tcPr>
          <w:p>
            <w:pPr>
              <w:jc w:val="center"/>
              <w:rPr>
                <w:rFonts w:hint="eastAsia" w:eastAsia="宋体"/>
                <w:vertAlign w:val="baseline"/>
                <w:lang w:eastAsia="zh-CN"/>
              </w:rPr>
            </w:pPr>
            <w:r>
              <w:rPr>
                <w:rFonts w:hint="eastAsia"/>
                <w:vertAlign w:val="baseline"/>
                <w:lang w:val="en-US" w:eastAsia="zh-CN"/>
              </w:rPr>
              <w:t>股</w:t>
            </w:r>
            <w:r>
              <w:rPr>
                <w:rFonts w:hint="eastAsia"/>
                <w:vertAlign w:val="baseline"/>
                <w:lang w:eastAsia="zh-CN"/>
              </w:rPr>
              <w:t>室名称</w:t>
            </w:r>
          </w:p>
        </w:tc>
        <w:tc>
          <w:tcPr>
            <w:tcW w:w="2070" w:type="dxa"/>
            <w:vAlign w:val="center"/>
          </w:tcPr>
          <w:p>
            <w:pPr>
              <w:jc w:val="center"/>
              <w:rPr>
                <w:rFonts w:hint="eastAsia" w:eastAsia="宋体"/>
                <w:vertAlign w:val="baseline"/>
                <w:lang w:eastAsia="zh-CN"/>
              </w:rPr>
            </w:pPr>
            <w:r>
              <w:rPr>
                <w:rFonts w:hint="eastAsia"/>
                <w:vertAlign w:val="baseline"/>
                <w:lang w:val="en-US" w:eastAsia="zh-CN"/>
              </w:rPr>
              <w:t>股</w:t>
            </w:r>
            <w:r>
              <w:rPr>
                <w:rFonts w:hint="eastAsia"/>
                <w:vertAlign w:val="baseline"/>
                <w:lang w:eastAsia="zh-CN"/>
              </w:rPr>
              <w:t>室职责</w:t>
            </w:r>
          </w:p>
        </w:tc>
        <w:tc>
          <w:tcPr>
            <w:tcW w:w="1069" w:type="dxa"/>
            <w:vAlign w:val="center"/>
          </w:tcPr>
          <w:p>
            <w:pPr>
              <w:jc w:val="center"/>
              <w:rPr>
                <w:rFonts w:hint="eastAsia" w:eastAsia="宋体"/>
                <w:vertAlign w:val="baseline"/>
                <w:lang w:eastAsia="zh-CN"/>
              </w:rPr>
            </w:pPr>
            <w:r>
              <w:rPr>
                <w:rFonts w:hint="eastAsia"/>
                <w:vertAlign w:val="baseline"/>
                <w:lang w:eastAsia="zh-CN"/>
              </w:rPr>
              <w:t>职责类别</w:t>
            </w:r>
          </w:p>
        </w:tc>
        <w:tc>
          <w:tcPr>
            <w:tcW w:w="4279" w:type="dxa"/>
            <w:vAlign w:val="center"/>
          </w:tcPr>
          <w:p>
            <w:pPr>
              <w:jc w:val="center"/>
              <w:rPr>
                <w:rFonts w:hint="eastAsia" w:eastAsia="宋体"/>
                <w:vertAlign w:val="baseline"/>
                <w:lang w:eastAsia="zh-CN"/>
              </w:rPr>
            </w:pPr>
            <w:r>
              <w:rPr>
                <w:rFonts w:hint="eastAsia"/>
                <w:vertAlign w:val="baseline"/>
                <w:lang w:eastAsia="zh-CN"/>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104" w:type="dxa"/>
            <w:vMerge w:val="restart"/>
            <w:vAlign w:val="center"/>
          </w:tcPr>
          <w:p>
            <w:pPr>
              <w:jc w:val="center"/>
              <w:rPr>
                <w:rFonts w:hint="default" w:eastAsia="宋体"/>
                <w:lang w:val="en-US" w:eastAsia="zh-CN"/>
              </w:rPr>
            </w:pPr>
            <w:r>
              <w:rPr>
                <w:rFonts w:hint="eastAsia"/>
                <w:lang w:val="en-US" w:eastAsia="zh-CN"/>
              </w:rPr>
              <w:t>综合监督与法规股</w:t>
            </w:r>
          </w:p>
        </w:tc>
        <w:tc>
          <w:tcPr>
            <w:tcW w:w="2070" w:type="dxa"/>
            <w:vMerge w:val="restart"/>
            <w:vAlign w:val="center"/>
          </w:tcPr>
          <w:p>
            <w:pPr>
              <w:jc w:val="both"/>
              <w:rPr>
                <w:rFonts w:hint="default" w:eastAsia="宋体"/>
                <w:lang w:val="en-US" w:eastAsia="zh-CN"/>
              </w:rPr>
            </w:pPr>
            <w:r>
              <w:rPr>
                <w:rFonts w:hint="eastAsia"/>
                <w:lang w:val="en-US" w:eastAsia="zh-CN"/>
              </w:rPr>
              <w:t>承担公共卫生、医疗卫生、计划生育综合监督工作，按照职责分工承担职业卫生放射卫生、环境卫生、学校卫生、计划生育监督;组织开展公共场所、饮用水安全、传染病防治监督检查,整顿和规范医疗服务市场,组织查处违法行为,指导规范综合监督执法行为。组织开展食品安全风险监测、评估工作;为食品安全事故有关的流行病学调查、食源性疾病暴发识别和溯源分析提供技术支持。</w:t>
            </w:r>
          </w:p>
        </w:tc>
        <w:tc>
          <w:tcPr>
            <w:tcW w:w="1069" w:type="dxa"/>
            <w:vAlign w:val="center"/>
          </w:tcPr>
          <w:p>
            <w:pPr>
              <w:jc w:val="center"/>
              <w:rPr>
                <w:rFonts w:hint="default" w:eastAsia="宋体"/>
                <w:vertAlign w:val="baseline"/>
                <w:lang w:val="en-US" w:eastAsia="zh-CN"/>
              </w:rPr>
            </w:pPr>
            <w:r>
              <w:rPr>
                <w:rFonts w:hint="eastAsia"/>
                <w:vertAlign w:val="baseline"/>
                <w:lang w:eastAsia="zh-CN"/>
              </w:rPr>
              <w:t>行政</w:t>
            </w:r>
            <w:r>
              <w:rPr>
                <w:rFonts w:hint="eastAsia"/>
                <w:vertAlign w:val="baseline"/>
                <w:lang w:val="en-US" w:eastAsia="zh-CN"/>
              </w:rPr>
              <w:t>处罚</w:t>
            </w:r>
          </w:p>
        </w:tc>
        <w:tc>
          <w:tcPr>
            <w:tcW w:w="4279" w:type="dxa"/>
            <w:vAlign w:val="center"/>
          </w:tcPr>
          <w:p>
            <w:pPr>
              <w:jc w:val="both"/>
              <w:rPr>
                <w:rFonts w:hint="default"/>
                <w:vertAlign w:val="baseline"/>
                <w:lang w:val="en-US" w:eastAsia="zh-CN"/>
              </w:rPr>
            </w:pPr>
            <w:r>
              <w:rPr>
                <w:rFonts w:hint="eastAsia"/>
                <w:vertAlign w:val="baseline"/>
                <w:lang w:val="en-US" w:eastAsia="zh-CN"/>
              </w:rPr>
              <w:t>审查岗:对案件违法事实、证据、调查取证、法律适用、处罚种类和幅度、当事人陈述理由等进行法规审核，提出处理意见。</w:t>
            </w:r>
          </w:p>
          <w:p>
            <w:pPr>
              <w:jc w:val="both"/>
              <w:rPr>
                <w:rFonts w:hint="eastAsia" w:eastAsia="宋体"/>
                <w:vertAlign w:val="baseline"/>
                <w:lang w:eastAsia="zh-CN"/>
              </w:rPr>
            </w:pPr>
            <w:r>
              <w:rPr>
                <w:rFonts w:hint="eastAsia"/>
                <w:vertAlign w:val="baseline"/>
              </w:rPr>
              <w:t>决定岗</w:t>
            </w:r>
            <w:r>
              <w:rPr>
                <w:rFonts w:hint="eastAsia"/>
                <w:vertAlign w:val="baseline"/>
                <w:lang w:val="en-US" w:eastAsia="zh-CN"/>
              </w:rPr>
              <w:t>：</w:t>
            </w:r>
            <w:r>
              <w:rPr>
                <w:rFonts w:hint="eastAsia"/>
                <w:vertAlign w:val="baseline"/>
              </w:rPr>
              <w:t>依法需要给予行政处罚的经行政机关负责人批准，制作</w:t>
            </w:r>
            <w:r>
              <w:rPr>
                <w:rFonts w:hint="eastAsia"/>
                <w:vertAlign w:val="baseline"/>
                <w:lang w:val="en-US" w:eastAsia="zh-CN"/>
              </w:rPr>
              <w:t xml:space="preserve"> </w:t>
            </w:r>
            <w:r>
              <w:rPr>
                <w:rFonts w:hint="eastAsia"/>
                <w:vertAlign w:val="baseline"/>
              </w:rPr>
              <w:t>《行政处罚</w:t>
            </w:r>
            <w:r>
              <w:rPr>
                <w:rFonts w:hint="eastAsia"/>
                <w:vertAlign w:val="baseline"/>
                <w:lang w:val="en-US" w:eastAsia="zh-CN"/>
              </w:rPr>
              <w:t>决定</w:t>
            </w:r>
            <w:r>
              <w:rPr>
                <w:rFonts w:hint="eastAsia"/>
                <w:vertAlign w:val="baseline"/>
              </w:rPr>
              <w:t>书》，载明违法事实和证据、处罚依据和内容</w:t>
            </w:r>
            <w:r>
              <w:rPr>
                <w:rFonts w:hint="eastAsia"/>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104" w:type="dxa"/>
            <w:vMerge w:val="continue"/>
            <w:vAlign w:val="center"/>
          </w:tcPr>
          <w:p>
            <w:pPr>
              <w:jc w:val="center"/>
            </w:pPr>
          </w:p>
        </w:tc>
        <w:tc>
          <w:tcPr>
            <w:tcW w:w="2070" w:type="dxa"/>
            <w:vMerge w:val="continue"/>
            <w:vAlign w:val="center"/>
          </w:tcPr>
          <w:p>
            <w:pPr>
              <w:jc w:val="center"/>
            </w:pPr>
          </w:p>
        </w:tc>
        <w:tc>
          <w:tcPr>
            <w:tcW w:w="1069" w:type="dxa"/>
            <w:vAlign w:val="center"/>
          </w:tcPr>
          <w:p>
            <w:pPr>
              <w:jc w:val="center"/>
              <w:rPr>
                <w:rFonts w:hint="default"/>
                <w:vertAlign w:val="baseline"/>
                <w:lang w:val="en-US" w:eastAsia="zh-CN"/>
              </w:rPr>
            </w:pPr>
            <w:r>
              <w:rPr>
                <w:rFonts w:hint="eastAsia"/>
                <w:vertAlign w:val="baseline"/>
                <w:lang w:val="en-US" w:eastAsia="zh-CN"/>
              </w:rPr>
              <w:t>行政许可</w:t>
            </w:r>
          </w:p>
        </w:tc>
        <w:tc>
          <w:tcPr>
            <w:tcW w:w="4279" w:type="dxa"/>
            <w:vAlign w:val="center"/>
          </w:tcPr>
          <w:p>
            <w:pPr>
              <w:jc w:val="both"/>
              <w:rPr>
                <w:rFonts w:hint="eastAsia" w:eastAsia="宋体"/>
                <w:vertAlign w:val="baseline"/>
                <w:lang w:val="en-US" w:eastAsia="zh-CN"/>
              </w:rPr>
            </w:pPr>
            <w:r>
              <w:rPr>
                <w:rFonts w:hint="eastAsia"/>
                <w:vertAlign w:val="baseline"/>
              </w:rPr>
              <w:t>事后监督岗</w:t>
            </w:r>
            <w:r>
              <w:rPr>
                <w:rFonts w:hint="eastAsia"/>
                <w:vertAlign w:val="baseline"/>
                <w:lang w:val="en-US" w:eastAsia="zh-CN"/>
              </w:rPr>
              <w:t>：</w:t>
            </w:r>
            <w:r>
              <w:rPr>
                <w:rFonts w:hint="eastAsia"/>
                <w:vertAlign w:val="baseline"/>
              </w:rPr>
              <w:t>根据监管职责,加强对准予从事行政许可事项活动情况监督检</w:t>
            </w:r>
            <w:r>
              <w:rPr>
                <w:rFonts w:hint="eastAsia"/>
                <w:vertAlign w:val="baseline"/>
                <w:lang w:val="en-US" w:eastAsia="zh-CN"/>
              </w:rPr>
              <w:t>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1104" w:type="dxa"/>
            <w:vMerge w:val="continue"/>
            <w:vAlign w:val="center"/>
          </w:tcPr>
          <w:p>
            <w:pPr>
              <w:jc w:val="center"/>
              <w:rPr>
                <w:vertAlign w:val="baseline"/>
              </w:rPr>
            </w:pPr>
          </w:p>
        </w:tc>
        <w:tc>
          <w:tcPr>
            <w:tcW w:w="2070" w:type="dxa"/>
            <w:vMerge w:val="continue"/>
            <w:vAlign w:val="center"/>
          </w:tcPr>
          <w:p>
            <w:pPr>
              <w:jc w:val="center"/>
              <w:rPr>
                <w:vertAlign w:val="baseline"/>
              </w:rPr>
            </w:pPr>
          </w:p>
        </w:tc>
        <w:tc>
          <w:tcPr>
            <w:tcW w:w="1069" w:type="dxa"/>
            <w:vAlign w:val="center"/>
          </w:tcPr>
          <w:p>
            <w:pPr>
              <w:jc w:val="center"/>
              <w:rPr>
                <w:rFonts w:hint="eastAsia"/>
                <w:vertAlign w:val="baseline"/>
                <w:lang w:eastAsia="zh-CN"/>
              </w:rPr>
            </w:pPr>
            <w:r>
              <w:rPr>
                <w:rFonts w:hint="eastAsia"/>
                <w:vertAlign w:val="baseline"/>
                <w:lang w:eastAsia="zh-CN"/>
              </w:rPr>
              <w:t>行政强制</w:t>
            </w:r>
          </w:p>
          <w:p>
            <w:pPr>
              <w:jc w:val="both"/>
              <w:rPr>
                <w:rFonts w:hint="eastAsia" w:eastAsia="宋体"/>
                <w:vertAlign w:val="baseline"/>
                <w:lang w:eastAsia="zh-CN"/>
              </w:rPr>
            </w:pPr>
            <w:r>
              <w:rPr>
                <w:rFonts w:hint="eastAsia"/>
                <w:vertAlign w:val="baseline"/>
                <w:lang w:eastAsia="zh-CN"/>
              </w:rPr>
              <w:t>（措施类）</w:t>
            </w:r>
          </w:p>
        </w:tc>
        <w:tc>
          <w:tcPr>
            <w:tcW w:w="4279" w:type="dxa"/>
            <w:vAlign w:val="center"/>
          </w:tcPr>
          <w:p>
            <w:pPr>
              <w:jc w:val="both"/>
              <w:rPr>
                <w:vertAlign w:val="baseline"/>
              </w:rPr>
            </w:pPr>
            <w:r>
              <w:rPr>
                <w:rFonts w:hint="eastAsia"/>
                <w:vertAlign w:val="baseline"/>
              </w:rPr>
              <w:t>决定岗</w:t>
            </w:r>
            <w:r>
              <w:rPr>
                <w:rFonts w:hint="eastAsia"/>
                <w:vertAlign w:val="baseline"/>
                <w:lang w:val="en-US" w:eastAsia="zh-CN"/>
              </w:rPr>
              <w:t>：</w:t>
            </w:r>
            <w:r>
              <w:rPr>
                <w:rFonts w:hint="eastAsia"/>
                <w:vertAlign w:val="baseline"/>
              </w:rPr>
              <w:t>以事实为依据，经批准作出查封、扣押等行政强制决定书。送达查封</w:t>
            </w:r>
            <w:r>
              <w:rPr>
                <w:rFonts w:hint="eastAsia"/>
                <w:vertAlign w:val="baseline"/>
                <w:lang w:eastAsia="zh-CN"/>
              </w:rPr>
              <w:t>（</w:t>
            </w:r>
            <w:r>
              <w:rPr>
                <w:rFonts w:hint="eastAsia"/>
                <w:vertAlign w:val="baseline"/>
                <w:lang w:val="en-US" w:eastAsia="zh-CN"/>
              </w:rPr>
              <w:t>扣押）</w:t>
            </w:r>
            <w:r>
              <w:rPr>
                <w:rFonts w:hint="eastAsia"/>
                <w:vertAlign w:val="baseline"/>
              </w:rPr>
              <w:t>决定书。根据中止和终结执行的适用情形，做出解除查封、扣押决定。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104" w:type="dxa"/>
            <w:vMerge w:val="continue"/>
          </w:tcPr>
          <w:p>
            <w:pPr>
              <w:rPr>
                <w:vertAlign w:val="baseline"/>
              </w:rPr>
            </w:pPr>
          </w:p>
        </w:tc>
        <w:tc>
          <w:tcPr>
            <w:tcW w:w="2070" w:type="dxa"/>
            <w:vMerge w:val="continue"/>
            <w:vAlign w:val="center"/>
          </w:tcPr>
          <w:p>
            <w:pPr>
              <w:jc w:val="center"/>
              <w:rPr>
                <w:vertAlign w:val="baseline"/>
              </w:rPr>
            </w:pPr>
          </w:p>
        </w:tc>
        <w:tc>
          <w:tcPr>
            <w:tcW w:w="1069" w:type="dxa"/>
            <w:vMerge w:val="restart"/>
            <w:vAlign w:val="center"/>
          </w:tcPr>
          <w:p>
            <w:pPr>
              <w:jc w:val="center"/>
              <w:rPr>
                <w:rFonts w:hint="eastAsia"/>
                <w:vertAlign w:val="baseline"/>
                <w:lang w:eastAsia="zh-CN"/>
              </w:rPr>
            </w:pPr>
          </w:p>
          <w:p>
            <w:pPr>
              <w:jc w:val="center"/>
              <w:rPr>
                <w:rFonts w:hint="eastAsia"/>
                <w:vertAlign w:val="baseline"/>
                <w:lang w:eastAsia="zh-CN"/>
              </w:rPr>
            </w:pPr>
            <w:r>
              <w:rPr>
                <w:rFonts w:hint="eastAsia"/>
                <w:vertAlign w:val="baseline"/>
                <w:lang w:eastAsia="zh-CN"/>
              </w:rPr>
              <w:t>行政强制</w:t>
            </w:r>
          </w:p>
          <w:p>
            <w:pPr>
              <w:jc w:val="center"/>
              <w:rPr>
                <w:rFonts w:hint="default"/>
                <w:vertAlign w:val="baseline"/>
                <w:lang w:val="en-US" w:eastAsia="zh-CN"/>
              </w:rPr>
            </w:pPr>
            <w:r>
              <w:rPr>
                <w:rFonts w:hint="eastAsia"/>
                <w:vertAlign w:val="baseline"/>
                <w:lang w:eastAsia="zh-CN"/>
              </w:rPr>
              <w:t>（执行类）</w:t>
            </w:r>
          </w:p>
        </w:tc>
        <w:tc>
          <w:tcPr>
            <w:tcW w:w="4279" w:type="dxa"/>
            <w:vAlign w:val="center"/>
          </w:tcPr>
          <w:p>
            <w:pPr>
              <w:jc w:val="both"/>
              <w:rPr>
                <w:vertAlign w:val="baseline"/>
              </w:rPr>
            </w:pPr>
            <w:r>
              <w:rPr>
                <w:rFonts w:hint="eastAsia"/>
                <w:vertAlign w:val="baseline"/>
              </w:rPr>
              <w:t>催告岗</w:t>
            </w:r>
            <w:r>
              <w:rPr>
                <w:rFonts w:hint="eastAsia"/>
                <w:vertAlign w:val="baseline"/>
                <w:lang w:val="en-US" w:eastAsia="zh-CN"/>
              </w:rPr>
              <w:t>：</w:t>
            </w:r>
            <w:r>
              <w:rPr>
                <w:rFonts w:hint="eastAsia"/>
                <w:vertAlign w:val="baseline"/>
              </w:rPr>
              <w:t>制作催告书。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1104" w:type="dxa"/>
            <w:vMerge w:val="continue"/>
          </w:tcPr>
          <w:p/>
        </w:tc>
        <w:tc>
          <w:tcPr>
            <w:tcW w:w="2070" w:type="dxa"/>
            <w:vMerge w:val="continue"/>
            <w:vAlign w:val="center"/>
          </w:tcPr>
          <w:p>
            <w:pPr>
              <w:jc w:val="center"/>
            </w:pPr>
          </w:p>
        </w:tc>
        <w:tc>
          <w:tcPr>
            <w:tcW w:w="1069" w:type="dxa"/>
            <w:vMerge w:val="continue"/>
            <w:vAlign w:val="center"/>
          </w:tcPr>
          <w:p>
            <w:pPr>
              <w:jc w:val="center"/>
            </w:pPr>
          </w:p>
        </w:tc>
        <w:tc>
          <w:tcPr>
            <w:tcW w:w="4279" w:type="dxa"/>
            <w:vAlign w:val="center"/>
          </w:tcPr>
          <w:p>
            <w:pPr>
              <w:jc w:val="both"/>
              <w:rPr>
                <w:vertAlign w:val="baseline"/>
              </w:rPr>
            </w:pPr>
            <w:r>
              <w:rPr>
                <w:rFonts w:hint="eastAsia"/>
                <w:vertAlign w:val="baseline"/>
              </w:rPr>
              <w:t>决定岗</w:t>
            </w:r>
            <w:r>
              <w:rPr>
                <w:rFonts w:hint="eastAsia"/>
                <w:vertAlign w:val="baseline"/>
                <w:lang w:val="en-US" w:eastAsia="zh-CN"/>
              </w:rPr>
              <w:t>：</w:t>
            </w:r>
            <w:r>
              <w:rPr>
                <w:rFonts w:hint="eastAsia"/>
                <w:vertAlign w:val="baseline"/>
              </w:rPr>
              <w:t>制作行政强制决定书。核实违法事实,充分听取当事人的陈述。对</w:t>
            </w:r>
            <w:r>
              <w:rPr>
                <w:rFonts w:hint="eastAsia"/>
                <w:vertAlign w:val="baseline"/>
                <w:lang w:val="en-US" w:eastAsia="zh-CN"/>
              </w:rPr>
              <w:t>当事人提出的</w:t>
            </w:r>
            <w:r>
              <w:rPr>
                <w:rFonts w:hint="eastAsia"/>
                <w:vertAlign w:val="baseline"/>
              </w:rPr>
              <w:t>事实、理由和证据,应当进行记录、复核。经催告，当事人逾期仍不履行</w:t>
            </w:r>
            <w:r>
              <w:rPr>
                <w:rFonts w:hint="eastAsia"/>
                <w:vertAlign w:val="baseline"/>
                <w:lang w:val="en-US" w:eastAsia="zh-CN"/>
              </w:rPr>
              <w:t>政决定且</w:t>
            </w:r>
            <w:r>
              <w:rPr>
                <w:rFonts w:hint="eastAsia"/>
                <w:vertAlign w:val="baseline"/>
              </w:rPr>
              <w:t>无正当理由的，行政机关可以依法作出强制执行决定。申请人民法院强制执行。</w:t>
            </w:r>
          </w:p>
        </w:tc>
      </w:tr>
    </w:tbl>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2527"/>
        <w:gridCol w:w="938"/>
        <w:gridCol w:w="3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1104"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股室名称</w:t>
            </w:r>
          </w:p>
        </w:tc>
        <w:tc>
          <w:tcPr>
            <w:tcW w:w="2527"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股室职责</w:t>
            </w:r>
          </w:p>
        </w:tc>
        <w:tc>
          <w:tcPr>
            <w:tcW w:w="938"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职责类别</w:t>
            </w:r>
          </w:p>
        </w:tc>
        <w:tc>
          <w:tcPr>
            <w:tcW w:w="3953"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104" w:type="dxa"/>
            <w:vMerge w:val="restart"/>
            <w:vAlign w:val="center"/>
          </w:tcPr>
          <w:p>
            <w:pPr>
              <w:bidi w:val="0"/>
              <w:jc w:val="center"/>
              <w:rPr>
                <w:rFonts w:ascii="Calibri" w:hAnsi="Calibri" w:eastAsia="宋体" w:cs="Times New Roman"/>
                <w:kern w:val="2"/>
                <w:sz w:val="21"/>
                <w:szCs w:val="24"/>
                <w:vertAlign w:val="baseline"/>
                <w:lang w:val="en-US" w:eastAsia="zh-CN" w:bidi="ar-SA"/>
              </w:rPr>
            </w:pPr>
          </w:p>
          <w:p>
            <w:pPr>
              <w:bidi w:val="0"/>
              <w:jc w:val="center"/>
              <w:rPr>
                <w:rFonts w:ascii="Calibri" w:hAnsi="Calibri" w:eastAsia="宋体" w:cs="Times New Roman"/>
                <w:kern w:val="2"/>
                <w:sz w:val="21"/>
                <w:szCs w:val="24"/>
                <w:vertAlign w:val="baseline"/>
                <w:lang w:val="en-US" w:eastAsia="zh-CN" w:bidi="ar-SA"/>
              </w:rPr>
            </w:pPr>
          </w:p>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疾病预防控制股</w:t>
            </w:r>
          </w:p>
        </w:tc>
        <w:tc>
          <w:tcPr>
            <w:tcW w:w="2527" w:type="dxa"/>
            <w:vMerge w:val="restart"/>
            <w:vAlign w:val="center"/>
          </w:tcPr>
          <w:p>
            <w:pPr>
              <w:bidi w:val="0"/>
              <w:jc w:val="left"/>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拟定全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重大疾病防治规划、免疫规划和严重危害人民健康公共卫生问题的干预措施并组织实施;制定传染病、地方病、职业病和慢性病及与公共卫生相关疾病的防治规划并组织实施;组织落实国家免疫规划及政策措施;完善重大疾病防控体系，防止和控制疾病发生及疫情蔓延。承担发布法定报告传染病疫情信息工作;拟订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艾滋病防治规划并组织实施;综合管理全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艾滋病防治工</w:t>
            </w:r>
            <w:r>
              <w:rPr>
                <w:rFonts w:hint="eastAsia" w:cs="Times New Roman"/>
                <w:kern w:val="2"/>
                <w:sz w:val="21"/>
                <w:szCs w:val="24"/>
                <w:vertAlign w:val="baseline"/>
                <w:lang w:val="en-US" w:eastAsia="zh-CN" w:bidi="ar-SA"/>
              </w:rPr>
              <w:t>作。</w:t>
            </w:r>
          </w:p>
        </w:tc>
        <w:tc>
          <w:tcPr>
            <w:tcW w:w="938" w:type="dxa"/>
            <w:vMerge w:val="restart"/>
            <w:vAlign w:val="center"/>
          </w:tcPr>
          <w:p>
            <w:pPr>
              <w:bidi w:val="0"/>
              <w:jc w:val="center"/>
              <w:rPr>
                <w:rFonts w:hint="eastAsia" w:cs="Times New Roman"/>
                <w:kern w:val="2"/>
                <w:sz w:val="21"/>
                <w:szCs w:val="24"/>
                <w:vertAlign w:val="baseline"/>
                <w:lang w:val="en-US" w:eastAsia="zh-CN" w:bidi="ar-SA"/>
              </w:rPr>
            </w:pPr>
          </w:p>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行政检查</w:t>
            </w:r>
          </w:p>
        </w:tc>
        <w:tc>
          <w:tcPr>
            <w:tcW w:w="395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检查岗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 xml:space="preserve">对传染病防治进行监督检查; </w:t>
            </w:r>
            <w:r>
              <w:rPr>
                <w:rFonts w:hint="eastAsia" w:cs="Times New Roman"/>
                <w:kern w:val="2"/>
                <w:sz w:val="21"/>
                <w:szCs w:val="24"/>
                <w:vertAlign w:val="baseline"/>
                <w:lang w:val="en-US" w:eastAsia="zh-CN" w:bidi="ar-SA"/>
              </w:rPr>
              <w:t>对</w:t>
            </w:r>
            <w:r>
              <w:rPr>
                <w:rFonts w:hint="eastAsia" w:ascii="Calibri" w:hAnsi="Calibri" w:eastAsia="宋体" w:cs="Times New Roman"/>
                <w:kern w:val="2"/>
                <w:sz w:val="21"/>
                <w:szCs w:val="24"/>
                <w:vertAlign w:val="baseline"/>
                <w:lang w:val="en-US" w:eastAsia="zh-CN" w:bidi="ar-SA"/>
              </w:rPr>
              <w:t>预防接种进行监督检查。按照《中</w:t>
            </w:r>
            <w:r>
              <w:rPr>
                <w:rFonts w:hint="eastAsia" w:cs="Times New Roman"/>
                <w:kern w:val="2"/>
                <w:sz w:val="21"/>
                <w:szCs w:val="24"/>
                <w:vertAlign w:val="baseline"/>
                <w:lang w:val="en-US" w:eastAsia="zh-CN" w:bidi="ar-SA"/>
              </w:rPr>
              <w:t>华人民</w:t>
            </w:r>
            <w:r>
              <w:rPr>
                <w:rFonts w:hint="eastAsia" w:ascii="Calibri" w:hAnsi="Calibri" w:eastAsia="宋体" w:cs="Times New Roman"/>
                <w:kern w:val="2"/>
                <w:sz w:val="21"/>
                <w:szCs w:val="24"/>
                <w:vertAlign w:val="baseline"/>
                <w:lang w:val="en-US" w:eastAsia="zh-CN" w:bidi="ar-SA"/>
              </w:rPr>
              <w:t>共和国传染病防治法》第六条、第五十三条、第五十四条;</w:t>
            </w:r>
            <w:r>
              <w:rPr>
                <w:rFonts w:hint="eastAsia" w:cs="Times New Roman"/>
                <w:kern w:val="2"/>
                <w:sz w:val="21"/>
                <w:szCs w:val="24"/>
                <w:vertAlign w:val="baseline"/>
                <w:lang w:val="en-US" w:eastAsia="zh-CN" w:bidi="ar-SA"/>
              </w:rPr>
              <w:t xml:space="preserve"> </w:t>
            </w:r>
            <w:r>
              <w:rPr>
                <w:rFonts w:hint="eastAsia" w:ascii="Calibri" w:hAnsi="Calibri" w:eastAsia="宋体" w:cs="Times New Roman"/>
                <w:kern w:val="2"/>
                <w:sz w:val="21"/>
                <w:szCs w:val="24"/>
                <w:vertAlign w:val="baseline"/>
                <w:lang w:val="en-US" w:eastAsia="zh-CN" w:bidi="ar-SA"/>
              </w:rPr>
              <w:t>国务院《疫苗流通</w:t>
            </w:r>
            <w:r>
              <w:rPr>
                <w:rFonts w:hint="eastAsia" w:cs="Times New Roman"/>
                <w:kern w:val="2"/>
                <w:sz w:val="21"/>
                <w:szCs w:val="24"/>
                <w:vertAlign w:val="baseline"/>
                <w:lang w:val="en-US" w:eastAsia="zh-CN" w:bidi="ar-SA"/>
              </w:rPr>
              <w:t>和预防接</w:t>
            </w:r>
            <w:r>
              <w:rPr>
                <w:rFonts w:hint="eastAsia" w:ascii="Calibri" w:hAnsi="Calibri" w:eastAsia="宋体" w:cs="Times New Roman"/>
                <w:kern w:val="2"/>
                <w:sz w:val="21"/>
                <w:szCs w:val="24"/>
                <w:vertAlign w:val="baseline"/>
                <w:lang w:val="en-US" w:eastAsia="zh-CN" w:bidi="ar-SA"/>
              </w:rPr>
              <w:t>种管理条例》第七条、第五十条等法律法规的规定和程序实施检查。制定工作</w:t>
            </w:r>
            <w:r>
              <w:rPr>
                <w:rFonts w:hint="eastAsia" w:cs="Times New Roman"/>
                <w:kern w:val="2"/>
                <w:sz w:val="21"/>
                <w:szCs w:val="24"/>
                <w:vertAlign w:val="baseline"/>
                <w:lang w:val="en-US" w:eastAsia="zh-CN" w:bidi="ar-SA"/>
              </w:rPr>
              <w:t>计划下</w:t>
            </w:r>
            <w:r>
              <w:rPr>
                <w:rFonts w:hint="eastAsia" w:ascii="Calibri" w:hAnsi="Calibri" w:eastAsia="宋体" w:cs="Times New Roman"/>
                <w:kern w:val="2"/>
                <w:sz w:val="21"/>
                <w:szCs w:val="24"/>
                <w:vertAlign w:val="baseline"/>
                <w:lang w:val="en-US" w:eastAsia="zh-CN" w:bidi="ar-SA"/>
              </w:rPr>
              <w:t>发检查通知，组织人员开展检查。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1104" w:type="dxa"/>
            <w:vMerge w:val="continue"/>
            <w:vAlign w:val="center"/>
          </w:tcPr>
          <w:p>
            <w:pPr>
              <w:bidi w:val="0"/>
              <w:jc w:val="center"/>
            </w:pPr>
          </w:p>
        </w:tc>
        <w:tc>
          <w:tcPr>
            <w:tcW w:w="2527" w:type="dxa"/>
            <w:vMerge w:val="continue"/>
            <w:vAlign w:val="center"/>
          </w:tcPr>
          <w:p>
            <w:pPr>
              <w:bidi w:val="0"/>
              <w:jc w:val="center"/>
            </w:pPr>
          </w:p>
        </w:tc>
        <w:tc>
          <w:tcPr>
            <w:tcW w:w="938" w:type="dxa"/>
            <w:vMerge w:val="continue"/>
            <w:vAlign w:val="center"/>
          </w:tcPr>
          <w:p>
            <w:pPr>
              <w:bidi w:val="0"/>
              <w:jc w:val="center"/>
            </w:pPr>
          </w:p>
        </w:tc>
        <w:tc>
          <w:tcPr>
            <w:tcW w:w="395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处置岗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依法进行处置，不得违反法律法规。根据检查情况,提出整改意见</w:t>
            </w:r>
            <w:r>
              <w:rPr>
                <w:rFonts w:hint="eastAsia" w:cs="Times New Roman"/>
                <w:kern w:val="2"/>
                <w:sz w:val="21"/>
                <w:szCs w:val="24"/>
                <w:vertAlign w:val="baseline"/>
                <w:lang w:val="en-US" w:eastAsia="zh-CN" w:bidi="ar-SA"/>
              </w:rPr>
              <w:t>、下发整</w:t>
            </w:r>
            <w:r>
              <w:rPr>
                <w:rFonts w:hint="eastAsia" w:ascii="Calibri" w:hAnsi="Calibri" w:eastAsia="宋体" w:cs="Times New Roman"/>
                <w:kern w:val="2"/>
                <w:sz w:val="21"/>
                <w:szCs w:val="24"/>
                <w:vertAlign w:val="baseline"/>
                <w:lang w:val="en-US" w:eastAsia="zh-CN" w:bidi="ar-SA"/>
              </w:rPr>
              <w:t>改意见书，督促整改;情节严重的依法给</w:t>
            </w:r>
            <w:r>
              <w:rPr>
                <w:rFonts w:hint="eastAsia" w:cs="Times New Roman"/>
                <w:kern w:val="2"/>
                <w:sz w:val="21"/>
                <w:szCs w:val="24"/>
                <w:vertAlign w:val="baseline"/>
                <w:lang w:val="en-US" w:eastAsia="zh-CN" w:bidi="ar-SA"/>
              </w:rPr>
              <w:t>予</w:t>
            </w:r>
            <w:r>
              <w:rPr>
                <w:rFonts w:hint="eastAsia" w:ascii="Calibri" w:hAnsi="Calibri" w:eastAsia="宋体" w:cs="Times New Roman"/>
                <w:kern w:val="2"/>
                <w:sz w:val="21"/>
                <w:szCs w:val="24"/>
                <w:vertAlign w:val="baseline"/>
                <w:lang w:val="en-US" w:eastAsia="zh-CN" w:bidi="ar-SA"/>
              </w:rPr>
              <w:t>行政处罚或上报政府给</w:t>
            </w:r>
            <w:r>
              <w:rPr>
                <w:rFonts w:hint="eastAsia" w:cs="Times New Roman"/>
                <w:kern w:val="2"/>
                <w:sz w:val="21"/>
                <w:szCs w:val="24"/>
                <w:vertAlign w:val="baseline"/>
                <w:lang w:val="en-US" w:eastAsia="zh-CN" w:bidi="ar-SA"/>
              </w:rPr>
              <w:t>予</w:t>
            </w:r>
            <w:r>
              <w:rPr>
                <w:rFonts w:hint="eastAsia" w:ascii="Calibri" w:hAnsi="Calibri" w:eastAsia="宋体" w:cs="Times New Roman"/>
                <w:kern w:val="2"/>
                <w:sz w:val="21"/>
                <w:szCs w:val="24"/>
                <w:vertAlign w:val="baseline"/>
                <w:lang w:val="en-US" w:eastAsia="zh-CN" w:bidi="ar-SA"/>
              </w:rPr>
              <w:t>行政处分</w:t>
            </w: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2" w:hRule="atLeast"/>
        </w:trPr>
        <w:tc>
          <w:tcPr>
            <w:tcW w:w="1104" w:type="dxa"/>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2527" w:type="dxa"/>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938" w:type="dxa"/>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395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公开岗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依据法律法规,对检查结果予以通报和信息公开</w:t>
            </w:r>
            <w:r>
              <w:rPr>
                <w:rFonts w:hint="eastAsia" w:cs="Times New Roman"/>
                <w:kern w:val="2"/>
                <w:sz w:val="21"/>
                <w:szCs w:val="24"/>
                <w:vertAlign w:val="baseline"/>
                <w:lang w:val="en-US" w:eastAsia="zh-CN" w:bidi="ar-SA"/>
              </w:rPr>
              <w:t>。</w:t>
            </w:r>
          </w:p>
        </w:tc>
      </w:tr>
    </w:tbl>
    <w:p>
      <w:pPr>
        <w:bidi w:val="0"/>
        <w:jc w:val="left"/>
        <w:rPr>
          <w:rFonts w:ascii="Calibri" w:hAnsi="Calibri" w:eastAsia="宋体" w:cs="Times New Roman"/>
          <w:kern w:val="2"/>
          <w:sz w:val="21"/>
          <w:szCs w:val="24"/>
          <w:lang w:val="en-US" w:eastAsia="zh-CN" w:bidi="ar-SA"/>
        </w:rPr>
        <w:sectPr>
          <w:pgSz w:w="11906" w:h="16838"/>
          <w:pgMar w:top="1440" w:right="1800" w:bottom="1440" w:left="1800" w:header="851" w:footer="992" w:gutter="0"/>
          <w:cols w:space="425" w:num="1"/>
          <w:docGrid w:type="lines" w:linePitch="312" w:charSpace="0"/>
        </w:sectPr>
      </w:pPr>
    </w:p>
    <w:tbl>
      <w:tblPr>
        <w:tblStyle w:val="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5"/>
        <w:gridCol w:w="1890"/>
        <w:gridCol w:w="15"/>
        <w:gridCol w:w="1155"/>
        <w:gridCol w:w="4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39" w:type="dxa"/>
            <w:gridSpan w:val="2"/>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股室名称</w:t>
            </w:r>
          </w:p>
        </w:tc>
        <w:tc>
          <w:tcPr>
            <w:tcW w:w="1890"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股室职责</w:t>
            </w:r>
          </w:p>
        </w:tc>
        <w:tc>
          <w:tcPr>
            <w:tcW w:w="1170" w:type="dxa"/>
            <w:gridSpan w:val="2"/>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职责类别</w:t>
            </w:r>
          </w:p>
        </w:tc>
        <w:tc>
          <w:tcPr>
            <w:tcW w:w="4223"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39" w:type="dxa"/>
            <w:gridSpan w:val="2"/>
            <w:vMerge w:val="restart"/>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医政药政股</w:t>
            </w:r>
          </w:p>
        </w:tc>
        <w:tc>
          <w:tcPr>
            <w:tcW w:w="1890" w:type="dxa"/>
            <w:vMerge w:val="restart"/>
            <w:vAlign w:val="center"/>
          </w:tcPr>
          <w:p>
            <w:pPr>
              <w:bidi w:val="0"/>
              <w:jc w:val="left"/>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组织实施医疗机构、医疗技术应用、医疗质量、医疗安全、医疗服务、采供血机构管理等有关地方规范和标准;监督实施医务人员执业标准和服务规范;指导临床护理、医院药事、医院感染控制、临床实验室管理等工作;参与药品、医疗器械临床实验管理。组织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医疗机构评审评价工作，拟定全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公立医院运行监管、绩效评价和考核制度;协调、指导、监督医疗事故处理;</w:t>
            </w:r>
          </w:p>
        </w:tc>
        <w:tc>
          <w:tcPr>
            <w:tcW w:w="1170" w:type="dxa"/>
            <w:gridSpan w:val="2"/>
            <w:vMerge w:val="restart"/>
            <w:vAlign w:val="center"/>
          </w:tcPr>
          <w:p>
            <w:pPr>
              <w:bidi w:val="0"/>
              <w:jc w:val="center"/>
              <w:rPr>
                <w:rFonts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其他职权</w:t>
            </w:r>
          </w:p>
          <w:p>
            <w:pPr>
              <w:bidi w:val="0"/>
              <w:jc w:val="center"/>
              <w:rPr>
                <w:rFonts w:ascii="Calibri" w:hAnsi="Calibri" w:eastAsia="宋体" w:cs="Times New Roman"/>
                <w:kern w:val="2"/>
                <w:sz w:val="21"/>
                <w:szCs w:val="24"/>
                <w:lang w:val="en-US" w:eastAsia="zh-CN" w:bidi="ar-SA"/>
              </w:rPr>
            </w:pPr>
          </w:p>
          <w:p>
            <w:pPr>
              <w:bidi w:val="0"/>
              <w:jc w:val="center"/>
              <w:rPr>
                <w:lang w:val="en-US" w:eastAsia="zh-CN"/>
              </w:rPr>
            </w:pPr>
          </w:p>
          <w:p>
            <w:pPr>
              <w:bidi w:val="0"/>
              <w:jc w:val="center"/>
              <w:rPr>
                <w:rFonts w:hint="default"/>
                <w:lang w:val="en-US" w:eastAsia="zh-CN"/>
              </w:rPr>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受理岗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 xml:space="preserve">受理( 1.医师表彰或奖励;2.护士表彰或奖励; 3.医疗机构评审; </w:t>
            </w:r>
            <w:r>
              <w:rPr>
                <w:rFonts w:hint="eastAsia" w:cs="Times New Roman"/>
                <w:kern w:val="2"/>
                <w:sz w:val="21"/>
                <w:szCs w:val="24"/>
                <w:vertAlign w:val="baseline"/>
                <w:lang w:val="en-US" w:eastAsia="zh-CN" w:bidi="ar-SA"/>
              </w:rPr>
              <w:t>4.医师定</w:t>
            </w:r>
            <w:r>
              <w:rPr>
                <w:rFonts w:hint="eastAsia" w:ascii="Calibri" w:hAnsi="Calibri" w:eastAsia="宋体" w:cs="Times New Roman"/>
                <w:kern w:val="2"/>
                <w:sz w:val="21"/>
                <w:szCs w:val="24"/>
                <w:vertAlign w:val="baseline"/>
                <w:lang w:val="en-US" w:eastAsia="zh-CN" w:bidi="ar-SA"/>
              </w:rPr>
              <w:t>期考核)等事项。依据《中华人民共和国执业医师法》、《医疗机构管理条例</w:t>
            </w:r>
            <w:r>
              <w:rPr>
                <w:rFonts w:hint="eastAsia" w:cs="Times New Roman"/>
                <w:kern w:val="2"/>
                <w:sz w:val="21"/>
                <w:szCs w:val="24"/>
                <w:vertAlign w:val="baseline"/>
                <w:lang w:val="en-US" w:eastAsia="zh-CN" w:bidi="ar-SA"/>
              </w:rPr>
              <w:t>》、《护士条例》</w:t>
            </w:r>
            <w:r>
              <w:rPr>
                <w:rFonts w:hint="eastAsia" w:ascii="Calibri" w:hAnsi="Calibri" w:eastAsia="宋体" w:cs="Times New Roman"/>
                <w:kern w:val="2"/>
                <w:sz w:val="21"/>
                <w:szCs w:val="24"/>
                <w:vertAlign w:val="baseline"/>
                <w:lang w:val="en-US" w:eastAsia="zh-CN" w:bidi="ar-SA"/>
              </w:rPr>
              <w:t>进行，</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卫健委医政药政</w:t>
            </w:r>
            <w:r>
              <w:rPr>
                <w:rFonts w:hint="eastAsia" w:cs="Times New Roman"/>
                <w:kern w:val="2"/>
                <w:sz w:val="21"/>
                <w:szCs w:val="24"/>
                <w:vertAlign w:val="baseline"/>
                <w:lang w:val="en-US" w:eastAsia="zh-CN" w:bidi="ar-SA"/>
              </w:rPr>
              <w:t>股</w:t>
            </w:r>
            <w:r>
              <w:rPr>
                <w:rFonts w:hint="eastAsia" w:ascii="Calibri" w:hAnsi="Calibri" w:eastAsia="宋体" w:cs="Times New Roman"/>
                <w:kern w:val="2"/>
                <w:sz w:val="21"/>
                <w:szCs w:val="24"/>
                <w:vertAlign w:val="baseline"/>
                <w:lang w:val="en-US" w:eastAsia="zh-CN" w:bidi="ar-SA"/>
              </w:rPr>
              <w:t>受理审核，一次性告知补正材料。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39" w:type="dxa"/>
            <w:gridSpan w:val="2"/>
            <w:vMerge w:val="continue"/>
          </w:tcPr>
          <w:p>
            <w:pPr>
              <w:bidi w:val="0"/>
              <w:jc w:val="left"/>
            </w:pPr>
          </w:p>
        </w:tc>
        <w:tc>
          <w:tcPr>
            <w:tcW w:w="1890" w:type="dxa"/>
            <w:vMerge w:val="continue"/>
            <w:vAlign w:val="center"/>
          </w:tcPr>
          <w:p>
            <w:pPr>
              <w:bidi w:val="0"/>
              <w:jc w:val="center"/>
            </w:pPr>
          </w:p>
        </w:tc>
        <w:tc>
          <w:tcPr>
            <w:tcW w:w="1170" w:type="dxa"/>
            <w:gridSpan w:val="2"/>
            <w:vMerge w:val="continue"/>
            <w:vAlign w:val="center"/>
          </w:tcPr>
          <w:p>
            <w:pPr>
              <w:bidi w:val="0"/>
              <w:jc w:val="center"/>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审查岗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医师护士表彰或奖励依据相关法律法规审核申报材料，医疗机构评</w:t>
            </w:r>
            <w:r>
              <w:rPr>
                <w:rFonts w:hint="eastAsia" w:cs="Times New Roman"/>
                <w:kern w:val="2"/>
                <w:sz w:val="21"/>
                <w:szCs w:val="24"/>
                <w:vertAlign w:val="baseline"/>
                <w:lang w:val="en-US" w:eastAsia="zh-CN" w:bidi="ar-SA"/>
              </w:rPr>
              <w:t>审组织专</w:t>
            </w:r>
            <w:r>
              <w:rPr>
                <w:rFonts w:hint="eastAsia" w:ascii="Calibri" w:hAnsi="Calibri" w:eastAsia="宋体" w:cs="Times New Roman"/>
                <w:kern w:val="2"/>
                <w:sz w:val="21"/>
                <w:szCs w:val="24"/>
                <w:vertAlign w:val="baseline"/>
                <w:lang w:val="en-US" w:eastAsia="zh-CN" w:bidi="ar-SA"/>
              </w:rPr>
              <w:t>家现场审核,医师定期考核组织考核机构逐一考核。对拟表彰对象在系统内进</w:t>
            </w:r>
            <w:r>
              <w:rPr>
                <w:rFonts w:hint="eastAsia" w:cs="Times New Roman"/>
                <w:kern w:val="2"/>
                <w:sz w:val="21"/>
                <w:szCs w:val="24"/>
                <w:vertAlign w:val="baseline"/>
                <w:lang w:val="en-US" w:eastAsia="zh-CN" w:bidi="ar-SA"/>
              </w:rPr>
              <w:t>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39" w:type="dxa"/>
            <w:gridSpan w:val="2"/>
            <w:vMerge w:val="continue"/>
          </w:tcPr>
          <w:p>
            <w:pPr>
              <w:bidi w:val="0"/>
              <w:jc w:val="left"/>
              <w:rPr>
                <w:rFonts w:ascii="Calibri" w:hAnsi="Calibri" w:eastAsia="宋体" w:cs="Times New Roman"/>
                <w:kern w:val="2"/>
                <w:sz w:val="21"/>
                <w:szCs w:val="24"/>
                <w:vertAlign w:val="baseline"/>
                <w:lang w:val="en-US" w:eastAsia="zh-CN" w:bidi="ar-SA"/>
              </w:rPr>
            </w:pPr>
          </w:p>
        </w:tc>
        <w:tc>
          <w:tcPr>
            <w:tcW w:w="1890" w:type="dxa"/>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1170" w:type="dxa"/>
            <w:gridSpan w:val="2"/>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决定岗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经审核或现场考核合格，确定表彰对象，报主管主任、主任审核批</w:t>
            </w:r>
            <w:r>
              <w:rPr>
                <w:rFonts w:hint="eastAsia" w:cs="Times New Roman"/>
                <w:kern w:val="2"/>
                <w:sz w:val="21"/>
                <w:szCs w:val="24"/>
                <w:vertAlign w:val="baseline"/>
                <w:lang w:val="en-US" w:eastAsia="zh-CN" w:bidi="ar-SA"/>
              </w:rPr>
              <w:t>准制作</w:t>
            </w:r>
            <w:r>
              <w:rPr>
                <w:rFonts w:hint="eastAsia" w:ascii="Calibri" w:hAnsi="Calibri" w:eastAsia="宋体" w:cs="Times New Roman"/>
                <w:kern w:val="2"/>
                <w:sz w:val="21"/>
                <w:szCs w:val="24"/>
                <w:vertAlign w:val="baseline"/>
                <w:lang w:val="en-US" w:eastAsia="zh-CN" w:bidi="ar-SA"/>
              </w:rPr>
              <w:t>相关文件和证书。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1239" w:type="dxa"/>
            <w:gridSpan w:val="2"/>
            <w:vMerge w:val="continue"/>
          </w:tcPr>
          <w:p>
            <w:pPr>
              <w:bidi w:val="0"/>
              <w:jc w:val="left"/>
              <w:rPr>
                <w:rFonts w:ascii="Calibri" w:hAnsi="Calibri" w:eastAsia="宋体" w:cs="Times New Roman"/>
                <w:kern w:val="2"/>
                <w:sz w:val="21"/>
                <w:szCs w:val="24"/>
                <w:vertAlign w:val="baseline"/>
                <w:lang w:val="en-US" w:eastAsia="zh-CN" w:bidi="ar-SA"/>
              </w:rPr>
            </w:pPr>
          </w:p>
        </w:tc>
        <w:tc>
          <w:tcPr>
            <w:tcW w:w="1890" w:type="dxa"/>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1170" w:type="dxa"/>
            <w:gridSpan w:val="2"/>
            <w:vMerge w:val="continue"/>
            <w:vAlign w:val="center"/>
          </w:tcPr>
          <w:p>
            <w:pPr>
              <w:bidi w:val="0"/>
              <w:jc w:val="center"/>
              <w:rPr>
                <w:rFonts w:ascii="Calibri" w:hAnsi="Calibri" w:eastAsia="宋体" w:cs="Times New Roman"/>
                <w:kern w:val="2"/>
                <w:sz w:val="21"/>
                <w:szCs w:val="24"/>
                <w:vertAlign w:val="baseline"/>
                <w:lang w:val="en-US" w:eastAsia="zh-CN" w:bidi="ar-SA"/>
              </w:rPr>
            </w:pPr>
          </w:p>
        </w:tc>
        <w:tc>
          <w:tcPr>
            <w:tcW w:w="4223" w:type="dxa"/>
            <w:vAlign w:val="center"/>
          </w:tcPr>
          <w:p>
            <w:pPr>
              <w:bidi w:val="0"/>
              <w:jc w:val="both"/>
              <w:rPr>
                <w:rFonts w:hint="default"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事后监管岗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组织定期检查，保证持续改进,发现申报材料虚假，取消相关</w:t>
            </w:r>
            <w:r>
              <w:rPr>
                <w:rFonts w:hint="eastAsia" w:cs="Times New Roman"/>
                <w:kern w:val="2"/>
                <w:sz w:val="21"/>
                <w:szCs w:val="24"/>
                <w:vertAlign w:val="baseline"/>
                <w:lang w:val="en-US" w:eastAsia="zh-CN" w:bidi="ar-SA"/>
              </w:rPr>
              <w:t>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224"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股室名称</w:t>
            </w:r>
          </w:p>
        </w:tc>
        <w:tc>
          <w:tcPr>
            <w:tcW w:w="1920" w:type="dxa"/>
            <w:gridSpan w:val="3"/>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股室职责</w:t>
            </w:r>
          </w:p>
        </w:tc>
        <w:tc>
          <w:tcPr>
            <w:tcW w:w="1155"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职责类别</w:t>
            </w:r>
          </w:p>
        </w:tc>
        <w:tc>
          <w:tcPr>
            <w:tcW w:w="4223"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24" w:type="dxa"/>
            <w:vMerge w:val="restart"/>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基层卫生健康股</w:t>
            </w:r>
          </w:p>
        </w:tc>
        <w:tc>
          <w:tcPr>
            <w:tcW w:w="1920" w:type="dxa"/>
            <w:gridSpan w:val="3"/>
            <w:vMerge w:val="restart"/>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拟定全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基层卫生健康政策、标准和规范并组织实施,指导基层卫生健康服务体系建设、推进家庭医生签约服务和基层卫生综合改革;拟定加强乡村医生队伍建设相关政策;负责基本公共卫生服务项目的综合管理。</w:t>
            </w:r>
          </w:p>
        </w:tc>
        <w:tc>
          <w:tcPr>
            <w:tcW w:w="1155" w:type="dxa"/>
            <w:vMerge w:val="restart"/>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其他职权</w:t>
            </w: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决定岗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决定组织开展国家基本公共卫生服务项目绩效评价(考核)调查。</w:t>
            </w:r>
            <w:r>
              <w:rPr>
                <w:rFonts w:hint="eastAsia" w:cs="Times New Roman"/>
                <w:kern w:val="2"/>
                <w:sz w:val="21"/>
                <w:szCs w:val="24"/>
                <w:vertAlign w:val="baseline"/>
                <w:lang w:val="en-US" w:eastAsia="zh-CN" w:bidi="ar-SA"/>
              </w:rPr>
              <w:t>科学制定</w:t>
            </w:r>
            <w:r>
              <w:rPr>
                <w:rFonts w:hint="eastAsia" w:ascii="Calibri" w:hAnsi="Calibri" w:eastAsia="宋体" w:cs="Times New Roman"/>
                <w:kern w:val="2"/>
                <w:sz w:val="21"/>
                <w:szCs w:val="24"/>
                <w:vertAlign w:val="baseline"/>
                <w:lang w:val="en-US" w:eastAsia="zh-CN" w:bidi="ar-SA"/>
              </w:rPr>
              <w:t>目标考核方案，根据实际情况，采取抽查、突查、专项检查等检查方式。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24" w:type="dxa"/>
            <w:vMerge w:val="continue"/>
          </w:tcPr>
          <w:p>
            <w:pPr>
              <w:bidi w:val="0"/>
              <w:jc w:val="left"/>
            </w:pPr>
          </w:p>
        </w:tc>
        <w:tc>
          <w:tcPr>
            <w:tcW w:w="1920" w:type="dxa"/>
            <w:gridSpan w:val="3"/>
            <w:vMerge w:val="continue"/>
          </w:tcPr>
          <w:p>
            <w:pPr>
              <w:bidi w:val="0"/>
              <w:jc w:val="left"/>
            </w:pPr>
          </w:p>
        </w:tc>
        <w:tc>
          <w:tcPr>
            <w:tcW w:w="1155" w:type="dxa"/>
            <w:vMerge w:val="continue"/>
          </w:tcPr>
          <w:p>
            <w:pPr>
              <w:bidi w:val="0"/>
              <w:jc w:val="left"/>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检查岗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按法规的规定和程序实施检查，组建调查队伍，监督检查人员不少</w:t>
            </w:r>
            <w:r>
              <w:rPr>
                <w:rFonts w:hint="eastAsia" w:cs="Times New Roman"/>
                <w:kern w:val="2"/>
                <w:sz w:val="21"/>
                <w:szCs w:val="24"/>
                <w:vertAlign w:val="baseline"/>
                <w:lang w:val="en-US" w:eastAsia="zh-CN" w:bidi="ar-SA"/>
              </w:rPr>
              <w:t>于二人</w:t>
            </w:r>
            <w:r>
              <w:rPr>
                <w:rFonts w:hint="eastAsia" w:ascii="Calibri" w:hAnsi="Calibri" w:eastAsia="宋体" w:cs="Times New Roman"/>
                <w:kern w:val="2"/>
                <w:sz w:val="21"/>
                <w:szCs w:val="24"/>
                <w:vertAlign w:val="baseline"/>
                <w:lang w:val="en-US" w:eastAsia="zh-CN" w:bidi="ar-SA"/>
              </w:rPr>
              <w:t>到被检查单位查阅档案或进行现场检查,形成检查意见和整改建议，并填写检查意</w:t>
            </w:r>
            <w:r>
              <w:rPr>
                <w:rFonts w:hint="eastAsia" w:cs="Times New Roman"/>
                <w:kern w:val="2"/>
                <w:sz w:val="21"/>
                <w:szCs w:val="24"/>
                <w:vertAlign w:val="baseline"/>
                <w:lang w:val="en-US" w:eastAsia="zh-CN" w:bidi="ar-SA"/>
              </w:rPr>
              <w:t>见反馈</w:t>
            </w:r>
            <w:r>
              <w:rPr>
                <w:rFonts w:hint="eastAsia" w:ascii="Calibri" w:hAnsi="Calibri" w:eastAsia="宋体" w:cs="Times New Roman"/>
                <w:kern w:val="2"/>
                <w:sz w:val="21"/>
                <w:szCs w:val="24"/>
                <w:vertAlign w:val="baseline"/>
                <w:lang w:val="en-US" w:eastAsia="zh-CN" w:bidi="ar-SA"/>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224" w:type="dxa"/>
            <w:vMerge w:val="continue"/>
          </w:tcPr>
          <w:p>
            <w:pPr>
              <w:bidi w:val="0"/>
              <w:jc w:val="left"/>
              <w:rPr>
                <w:rFonts w:ascii="Calibri" w:hAnsi="Calibri" w:eastAsia="宋体" w:cs="Times New Roman"/>
                <w:kern w:val="2"/>
                <w:sz w:val="21"/>
                <w:szCs w:val="24"/>
                <w:vertAlign w:val="baseline"/>
                <w:lang w:val="en-US" w:eastAsia="zh-CN" w:bidi="ar-SA"/>
              </w:rPr>
            </w:pPr>
          </w:p>
        </w:tc>
        <w:tc>
          <w:tcPr>
            <w:tcW w:w="1920" w:type="dxa"/>
            <w:gridSpan w:val="3"/>
            <w:vMerge w:val="continue"/>
          </w:tcPr>
          <w:p>
            <w:pPr>
              <w:bidi w:val="0"/>
              <w:jc w:val="left"/>
              <w:rPr>
                <w:rFonts w:ascii="Calibri" w:hAnsi="Calibri" w:eastAsia="宋体" w:cs="Times New Roman"/>
                <w:kern w:val="2"/>
                <w:sz w:val="21"/>
                <w:szCs w:val="24"/>
                <w:vertAlign w:val="baseline"/>
                <w:lang w:val="en-US" w:eastAsia="zh-CN" w:bidi="ar-SA"/>
              </w:rPr>
            </w:pPr>
          </w:p>
        </w:tc>
        <w:tc>
          <w:tcPr>
            <w:tcW w:w="1155" w:type="dxa"/>
            <w:vMerge w:val="continue"/>
          </w:tcPr>
          <w:p>
            <w:pPr>
              <w:bidi w:val="0"/>
              <w:jc w:val="left"/>
              <w:rPr>
                <w:rFonts w:ascii="Calibri" w:hAnsi="Calibri" w:eastAsia="宋体" w:cs="Times New Roman"/>
                <w:kern w:val="2"/>
                <w:sz w:val="21"/>
                <w:szCs w:val="24"/>
                <w:vertAlign w:val="baseline"/>
                <w:lang w:val="en-US" w:eastAsia="zh-CN" w:bidi="ar-SA"/>
              </w:rPr>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处置岗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督促有关单位对所查隐患限期整改，并及时上报整改报告，逾期不</w:t>
            </w:r>
            <w:r>
              <w:rPr>
                <w:rFonts w:hint="eastAsia" w:cs="Times New Roman"/>
                <w:kern w:val="2"/>
                <w:sz w:val="21"/>
                <w:szCs w:val="24"/>
                <w:vertAlign w:val="baseline"/>
                <w:lang w:val="en-US" w:eastAsia="zh-CN" w:bidi="ar-SA"/>
              </w:rPr>
              <w:t>整改的</w:t>
            </w:r>
            <w:r>
              <w:rPr>
                <w:rFonts w:hint="eastAsia" w:ascii="Calibri" w:hAnsi="Calibri" w:eastAsia="宋体" w:cs="Times New Roman"/>
                <w:kern w:val="2"/>
                <w:sz w:val="21"/>
                <w:szCs w:val="24"/>
                <w:vertAlign w:val="baseline"/>
                <w:lang w:val="en-US" w:eastAsia="zh-CN" w:bidi="ar-SA"/>
              </w:rPr>
              <w:t>进行通报。对检查结果进行公示。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224" w:type="dxa"/>
            <w:vMerge w:val="continue"/>
          </w:tcPr>
          <w:p>
            <w:pPr>
              <w:bidi w:val="0"/>
              <w:jc w:val="left"/>
              <w:rPr>
                <w:rFonts w:ascii="Calibri" w:hAnsi="Calibri" w:eastAsia="宋体" w:cs="Times New Roman"/>
                <w:kern w:val="2"/>
                <w:sz w:val="21"/>
                <w:szCs w:val="24"/>
                <w:vertAlign w:val="baseline"/>
                <w:lang w:val="en-US" w:eastAsia="zh-CN" w:bidi="ar-SA"/>
              </w:rPr>
            </w:pPr>
          </w:p>
        </w:tc>
        <w:tc>
          <w:tcPr>
            <w:tcW w:w="1920" w:type="dxa"/>
            <w:gridSpan w:val="3"/>
            <w:vMerge w:val="continue"/>
          </w:tcPr>
          <w:p>
            <w:pPr>
              <w:bidi w:val="0"/>
              <w:jc w:val="left"/>
              <w:rPr>
                <w:rFonts w:ascii="Calibri" w:hAnsi="Calibri" w:eastAsia="宋体" w:cs="Times New Roman"/>
                <w:kern w:val="2"/>
                <w:sz w:val="21"/>
                <w:szCs w:val="24"/>
                <w:vertAlign w:val="baseline"/>
                <w:lang w:val="en-US" w:eastAsia="zh-CN" w:bidi="ar-SA"/>
              </w:rPr>
            </w:pPr>
          </w:p>
        </w:tc>
        <w:tc>
          <w:tcPr>
            <w:tcW w:w="1155" w:type="dxa"/>
            <w:vMerge w:val="continue"/>
          </w:tcPr>
          <w:p>
            <w:pPr>
              <w:bidi w:val="0"/>
              <w:jc w:val="left"/>
              <w:rPr>
                <w:rFonts w:ascii="Calibri" w:hAnsi="Calibri" w:eastAsia="宋体" w:cs="Times New Roman"/>
                <w:kern w:val="2"/>
                <w:sz w:val="21"/>
                <w:szCs w:val="24"/>
                <w:vertAlign w:val="baseline"/>
                <w:lang w:val="en-US" w:eastAsia="zh-CN" w:bidi="ar-SA"/>
              </w:rPr>
            </w:pPr>
          </w:p>
        </w:tc>
        <w:tc>
          <w:tcPr>
            <w:tcW w:w="4223"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事后监管岗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对后续工作进行监督管理。</w:t>
            </w:r>
          </w:p>
        </w:tc>
      </w:tr>
    </w:tbl>
    <w:p>
      <w:pPr>
        <w:bidi w:val="0"/>
        <w:jc w:val="left"/>
        <w:rPr>
          <w:rFonts w:ascii="Calibri" w:hAnsi="Calibri" w:eastAsia="宋体" w:cs="Times New Roman"/>
          <w:kern w:val="2"/>
          <w:sz w:val="21"/>
          <w:szCs w:val="24"/>
          <w:lang w:val="en-US" w:eastAsia="zh-CN" w:bidi="ar-SA"/>
        </w:rPr>
      </w:pPr>
    </w:p>
    <w:p>
      <w:pPr>
        <w:bidi w:val="0"/>
        <w:jc w:val="left"/>
        <w:rPr>
          <w:rFonts w:ascii="Calibri" w:hAnsi="Calibri" w:eastAsia="宋体" w:cs="Times New Roman"/>
          <w:kern w:val="2"/>
          <w:sz w:val="21"/>
          <w:szCs w:val="24"/>
          <w:lang w:val="en-US" w:eastAsia="zh-CN" w:bidi="ar-SA"/>
        </w:rPr>
      </w:pPr>
    </w:p>
    <w:p>
      <w:pPr>
        <w:bidi w:val="0"/>
        <w:jc w:val="left"/>
        <w:rPr>
          <w:rFonts w:ascii="Calibri" w:hAnsi="Calibri" w:eastAsia="宋体" w:cs="Times New Roman"/>
          <w:kern w:val="2"/>
          <w:sz w:val="21"/>
          <w:szCs w:val="24"/>
          <w:lang w:val="en-US" w:eastAsia="zh-CN" w:bidi="ar-SA"/>
        </w:rPr>
      </w:pPr>
    </w:p>
    <w:p>
      <w:pPr>
        <w:bidi w:val="0"/>
        <w:jc w:val="left"/>
        <w:rPr>
          <w:rFonts w:ascii="Calibri" w:hAnsi="Calibri" w:eastAsia="宋体" w:cs="Times New Roman"/>
          <w:kern w:val="2"/>
          <w:sz w:val="21"/>
          <w:szCs w:val="24"/>
          <w:lang w:val="en-US" w:eastAsia="zh-CN" w:bidi="ar-SA"/>
        </w:rPr>
      </w:pPr>
    </w:p>
    <w:p>
      <w:pPr>
        <w:bidi w:val="0"/>
        <w:jc w:val="left"/>
        <w:rPr>
          <w:rFonts w:ascii="Calibri" w:hAnsi="Calibri" w:eastAsia="宋体" w:cs="Times New Roman"/>
          <w:kern w:val="2"/>
          <w:sz w:val="21"/>
          <w:szCs w:val="24"/>
          <w:lang w:val="en-US" w:eastAsia="zh-CN" w:bidi="ar-SA"/>
        </w:rPr>
      </w:pPr>
    </w:p>
    <w:p>
      <w:pPr>
        <w:bidi w:val="0"/>
        <w:jc w:val="left"/>
        <w:rPr>
          <w:rFonts w:ascii="Calibri" w:hAnsi="Calibri" w:eastAsia="宋体" w:cs="Times New Roman"/>
          <w:kern w:val="2"/>
          <w:sz w:val="21"/>
          <w:szCs w:val="24"/>
          <w:lang w:val="en-US" w:eastAsia="zh-CN" w:bidi="ar-SA"/>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1905"/>
        <w:gridCol w:w="1185"/>
        <w:gridCol w:w="4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1224"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股室名称</w:t>
            </w:r>
          </w:p>
        </w:tc>
        <w:tc>
          <w:tcPr>
            <w:tcW w:w="1905"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股室职责</w:t>
            </w:r>
          </w:p>
        </w:tc>
        <w:tc>
          <w:tcPr>
            <w:tcW w:w="1185" w:type="dxa"/>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职责类别</w:t>
            </w:r>
          </w:p>
        </w:tc>
        <w:tc>
          <w:tcPr>
            <w:tcW w:w="4208" w:type="dxa"/>
            <w:vAlign w:val="center"/>
          </w:tcPr>
          <w:p>
            <w:pPr>
              <w:bidi w:val="0"/>
              <w:ind w:left="0" w:leftChars="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224" w:type="dxa"/>
            <w:vMerge w:val="restart"/>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职业健康股</w:t>
            </w:r>
          </w:p>
        </w:tc>
        <w:tc>
          <w:tcPr>
            <w:tcW w:w="1905" w:type="dxa"/>
            <w:vMerge w:val="restart"/>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拟定全</w:t>
            </w:r>
            <w:r>
              <w:rPr>
                <w:rFonts w:hint="eastAsia" w:cs="Times New Roman"/>
                <w:kern w:val="2"/>
                <w:sz w:val="21"/>
                <w:szCs w:val="24"/>
                <w:vertAlign w:val="baseline"/>
                <w:lang w:val="en-US" w:eastAsia="zh-CN" w:bidi="ar-SA"/>
              </w:rPr>
              <w:t>区</w:t>
            </w:r>
            <w:r>
              <w:rPr>
                <w:rFonts w:hint="eastAsia" w:ascii="Calibri" w:hAnsi="Calibri" w:eastAsia="宋体" w:cs="Times New Roman"/>
                <w:kern w:val="2"/>
                <w:sz w:val="21"/>
                <w:szCs w:val="24"/>
                <w:vertAlign w:val="baseline"/>
                <w:lang w:val="en-US" w:eastAsia="zh-CN" w:bidi="ar-SA"/>
              </w:rPr>
              <w:t>职业卫生、放射卫生相关政策、标准并组织实施;开展重点职业病监测、专项调查、职业健康风险评估和职业人群健康管理;协调开展职业病防治工作。</w:t>
            </w:r>
          </w:p>
        </w:tc>
        <w:tc>
          <w:tcPr>
            <w:tcW w:w="1185" w:type="dxa"/>
            <w:vMerge w:val="restart"/>
            <w:vAlign w:val="center"/>
          </w:tcPr>
          <w:p>
            <w:pPr>
              <w:bidi w:val="0"/>
              <w:jc w:val="center"/>
              <w:rPr>
                <w:rFonts w:hint="default" w:ascii="Calibri" w:hAnsi="Calibri" w:eastAsia="宋体" w:cs="Times New Roman"/>
                <w:kern w:val="2"/>
                <w:sz w:val="21"/>
                <w:szCs w:val="24"/>
                <w:vertAlign w:val="baseline"/>
                <w:lang w:val="en-US" w:eastAsia="zh-CN" w:bidi="ar-SA"/>
              </w:rPr>
            </w:pPr>
            <w:r>
              <w:rPr>
                <w:rFonts w:hint="eastAsia" w:cs="Times New Roman"/>
                <w:kern w:val="2"/>
                <w:sz w:val="21"/>
                <w:szCs w:val="24"/>
                <w:vertAlign w:val="baseline"/>
                <w:lang w:val="en-US" w:eastAsia="zh-CN" w:bidi="ar-SA"/>
              </w:rPr>
              <w:t>行政检查</w:t>
            </w:r>
          </w:p>
        </w:tc>
        <w:tc>
          <w:tcPr>
            <w:tcW w:w="4208"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检查岗</w:t>
            </w:r>
            <w:r>
              <w:rPr>
                <w:rFonts w:hint="eastAsia" w:cs="Times New Roman"/>
                <w:kern w:val="2"/>
                <w:sz w:val="21"/>
                <w:szCs w:val="24"/>
                <w:vertAlign w:val="baseline"/>
                <w:lang w:val="en-US" w:eastAsia="zh-CN" w:bidi="ar-SA"/>
              </w:rPr>
              <w:t>：1、</w:t>
            </w:r>
            <w:r>
              <w:rPr>
                <w:rFonts w:hint="eastAsia" w:ascii="Calibri" w:hAnsi="Calibri" w:eastAsia="宋体" w:cs="Times New Roman"/>
                <w:kern w:val="2"/>
                <w:sz w:val="21"/>
                <w:szCs w:val="24"/>
                <w:vertAlign w:val="baseline"/>
                <w:lang w:val="en-US" w:eastAsia="zh-CN" w:bidi="ar-SA"/>
              </w:rPr>
              <w:t>对职业病防治进行监督检查;2进入被检查单位和职业病危害现场</w:t>
            </w:r>
            <w:r>
              <w:rPr>
                <w:rFonts w:hint="eastAsia" w:cs="Times New Roman"/>
                <w:kern w:val="2"/>
                <w:sz w:val="21"/>
                <w:szCs w:val="24"/>
                <w:vertAlign w:val="baseline"/>
                <w:lang w:val="en-US" w:eastAsia="zh-CN" w:bidi="ar-SA"/>
              </w:rPr>
              <w:t>了解情</w:t>
            </w:r>
            <w:r>
              <w:rPr>
                <w:rFonts w:hint="eastAsia" w:ascii="Calibri" w:hAnsi="Calibri" w:eastAsia="宋体" w:cs="Times New Roman"/>
                <w:kern w:val="2"/>
                <w:sz w:val="21"/>
                <w:szCs w:val="24"/>
                <w:vertAlign w:val="baseline"/>
                <w:lang w:val="en-US" w:eastAsia="zh-CN" w:bidi="ar-SA"/>
              </w:rPr>
              <w:t>况，调查取证</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3.查阅或者复制与违反职业病防治法律、法规的行为有关的资</w:t>
            </w:r>
            <w:r>
              <w:rPr>
                <w:rFonts w:hint="eastAsia" w:cs="Times New Roman"/>
                <w:kern w:val="2"/>
                <w:sz w:val="21"/>
                <w:szCs w:val="24"/>
                <w:vertAlign w:val="baseline"/>
                <w:lang w:val="en-US" w:eastAsia="zh-CN" w:bidi="ar-SA"/>
              </w:rPr>
              <w:t>料和采集</w:t>
            </w:r>
            <w:r>
              <w:rPr>
                <w:rFonts w:hint="eastAsia" w:ascii="Calibri" w:hAnsi="Calibri" w:eastAsia="宋体" w:cs="Times New Roman"/>
                <w:kern w:val="2"/>
                <w:sz w:val="21"/>
                <w:szCs w:val="24"/>
                <w:vertAlign w:val="baseline"/>
                <w:lang w:val="en-US" w:eastAsia="zh-CN" w:bidi="ar-SA"/>
              </w:rPr>
              <w:t>样品。按照《中华人民共和国职业病防治法》第六十二条、第六十三条。制定</w:t>
            </w:r>
            <w:r>
              <w:rPr>
                <w:rFonts w:hint="eastAsia" w:cs="Times New Roman"/>
                <w:kern w:val="2"/>
                <w:sz w:val="21"/>
                <w:szCs w:val="24"/>
                <w:vertAlign w:val="baseline"/>
                <w:lang w:val="en-US" w:eastAsia="zh-CN" w:bidi="ar-SA"/>
              </w:rPr>
              <w:t>工作计</w:t>
            </w:r>
            <w:r>
              <w:rPr>
                <w:rFonts w:hint="eastAsia" w:ascii="Calibri" w:hAnsi="Calibri" w:eastAsia="宋体" w:cs="Times New Roman"/>
                <w:kern w:val="2"/>
                <w:sz w:val="21"/>
                <w:szCs w:val="24"/>
                <w:vertAlign w:val="baseline"/>
                <w:lang w:val="en-US" w:eastAsia="zh-CN" w:bidi="ar-SA"/>
              </w:rPr>
              <w:t>划，下发检查通知，组织人员开展检查。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9" w:hRule="atLeast"/>
        </w:trPr>
        <w:tc>
          <w:tcPr>
            <w:tcW w:w="1224" w:type="dxa"/>
            <w:vMerge w:val="continue"/>
          </w:tcPr>
          <w:p>
            <w:pPr>
              <w:bidi w:val="0"/>
              <w:jc w:val="left"/>
            </w:pPr>
          </w:p>
        </w:tc>
        <w:tc>
          <w:tcPr>
            <w:tcW w:w="1905" w:type="dxa"/>
            <w:vMerge w:val="continue"/>
          </w:tcPr>
          <w:p>
            <w:pPr>
              <w:bidi w:val="0"/>
              <w:jc w:val="left"/>
            </w:pPr>
          </w:p>
        </w:tc>
        <w:tc>
          <w:tcPr>
            <w:tcW w:w="1185" w:type="dxa"/>
            <w:vMerge w:val="continue"/>
          </w:tcPr>
          <w:p>
            <w:pPr>
              <w:bidi w:val="0"/>
              <w:jc w:val="left"/>
            </w:pPr>
          </w:p>
        </w:tc>
        <w:tc>
          <w:tcPr>
            <w:tcW w:w="4208"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处置岗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依法进行处置，不得违反法律法规。根据检查情况，提出整改意见</w:t>
            </w:r>
            <w:r>
              <w:rPr>
                <w:rFonts w:hint="eastAsia" w:cs="Times New Roman"/>
                <w:kern w:val="2"/>
                <w:sz w:val="21"/>
                <w:szCs w:val="24"/>
                <w:vertAlign w:val="baseline"/>
                <w:lang w:val="en-US" w:eastAsia="zh-CN" w:bidi="ar-SA"/>
              </w:rPr>
              <w:t>下发整</w:t>
            </w:r>
            <w:r>
              <w:rPr>
                <w:rFonts w:hint="eastAsia" w:ascii="Calibri" w:hAnsi="Calibri" w:eastAsia="宋体" w:cs="Times New Roman"/>
                <w:kern w:val="2"/>
                <w:sz w:val="21"/>
                <w:szCs w:val="24"/>
                <w:vertAlign w:val="baseline"/>
                <w:lang w:val="en-US" w:eastAsia="zh-CN" w:bidi="ar-SA"/>
              </w:rPr>
              <w:t>改意见书，督促整改;情节严重的依法给予行政处罚或上报政府给予行政处分</w:t>
            </w:r>
            <w:r>
              <w:rPr>
                <w:rFonts w:hint="eastAsia" w:cs="Times New Roman"/>
                <w:kern w:val="2"/>
                <w:sz w:val="21"/>
                <w:szCs w:val="24"/>
                <w:vertAlign w:val="baseli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224" w:type="dxa"/>
            <w:vMerge w:val="continue"/>
          </w:tcPr>
          <w:p>
            <w:pPr>
              <w:bidi w:val="0"/>
              <w:jc w:val="left"/>
              <w:rPr>
                <w:rFonts w:ascii="Calibri" w:hAnsi="Calibri" w:eastAsia="宋体" w:cs="Times New Roman"/>
                <w:kern w:val="2"/>
                <w:sz w:val="21"/>
                <w:szCs w:val="24"/>
                <w:vertAlign w:val="baseline"/>
                <w:lang w:val="en-US" w:eastAsia="zh-CN" w:bidi="ar-SA"/>
              </w:rPr>
            </w:pPr>
          </w:p>
        </w:tc>
        <w:tc>
          <w:tcPr>
            <w:tcW w:w="1905" w:type="dxa"/>
            <w:vMerge w:val="continue"/>
          </w:tcPr>
          <w:p>
            <w:pPr>
              <w:bidi w:val="0"/>
              <w:jc w:val="left"/>
              <w:rPr>
                <w:rFonts w:ascii="Calibri" w:hAnsi="Calibri" w:eastAsia="宋体" w:cs="Times New Roman"/>
                <w:kern w:val="2"/>
                <w:sz w:val="21"/>
                <w:szCs w:val="24"/>
                <w:vertAlign w:val="baseline"/>
                <w:lang w:val="en-US" w:eastAsia="zh-CN" w:bidi="ar-SA"/>
              </w:rPr>
            </w:pPr>
          </w:p>
        </w:tc>
        <w:tc>
          <w:tcPr>
            <w:tcW w:w="1185" w:type="dxa"/>
            <w:vMerge w:val="continue"/>
          </w:tcPr>
          <w:p>
            <w:pPr>
              <w:bidi w:val="0"/>
              <w:jc w:val="left"/>
              <w:rPr>
                <w:rFonts w:ascii="Calibri" w:hAnsi="Calibri" w:eastAsia="宋体" w:cs="Times New Roman"/>
                <w:kern w:val="2"/>
                <w:sz w:val="21"/>
                <w:szCs w:val="24"/>
                <w:vertAlign w:val="baseline"/>
                <w:lang w:val="en-US" w:eastAsia="zh-CN" w:bidi="ar-SA"/>
              </w:rPr>
            </w:pPr>
          </w:p>
        </w:tc>
        <w:tc>
          <w:tcPr>
            <w:tcW w:w="4208" w:type="dxa"/>
            <w:vAlign w:val="center"/>
          </w:tcPr>
          <w:p>
            <w:pPr>
              <w:bidi w:val="0"/>
              <w:jc w:val="both"/>
              <w:rPr>
                <w:rFonts w:ascii="Calibri" w:hAnsi="Calibri" w:eastAsia="宋体" w:cs="Times New Roman"/>
                <w:kern w:val="2"/>
                <w:sz w:val="21"/>
                <w:szCs w:val="24"/>
                <w:vertAlign w:val="baseline"/>
                <w:lang w:val="en-US" w:eastAsia="zh-CN" w:bidi="ar-SA"/>
              </w:rPr>
            </w:pPr>
            <w:r>
              <w:rPr>
                <w:rFonts w:hint="eastAsia" w:ascii="Calibri" w:hAnsi="Calibri" w:eastAsia="宋体" w:cs="Times New Roman"/>
                <w:kern w:val="2"/>
                <w:sz w:val="21"/>
                <w:szCs w:val="24"/>
                <w:vertAlign w:val="baseline"/>
                <w:lang w:val="en-US" w:eastAsia="zh-CN" w:bidi="ar-SA"/>
              </w:rPr>
              <w:t>公开岗</w:t>
            </w:r>
            <w:r>
              <w:rPr>
                <w:rFonts w:hint="eastAsia" w:cs="Times New Roman"/>
                <w:kern w:val="2"/>
                <w:sz w:val="21"/>
                <w:szCs w:val="24"/>
                <w:vertAlign w:val="baseline"/>
                <w:lang w:val="en-US" w:eastAsia="zh-CN" w:bidi="ar-SA"/>
              </w:rPr>
              <w:t>：</w:t>
            </w:r>
            <w:r>
              <w:rPr>
                <w:rFonts w:hint="eastAsia" w:ascii="Calibri" w:hAnsi="Calibri" w:eastAsia="宋体" w:cs="Times New Roman"/>
                <w:kern w:val="2"/>
                <w:sz w:val="21"/>
                <w:szCs w:val="24"/>
                <w:vertAlign w:val="baseline"/>
                <w:lang w:val="en-US" w:eastAsia="zh-CN" w:bidi="ar-SA"/>
              </w:rPr>
              <w:t>依据法律法规,对检查结果予以通报和信息公开。</w:t>
            </w:r>
          </w:p>
        </w:tc>
      </w:tr>
    </w:tbl>
    <w:p>
      <w:pPr>
        <w:bidi w:val="0"/>
        <w:jc w:val="left"/>
        <w:rPr>
          <w:rFonts w:ascii="Calibri" w:hAnsi="Calibri" w:eastAsia="宋体" w:cs="Times New Roman"/>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082CD4"/>
    <w:rsid w:val="06B81AD2"/>
    <w:rsid w:val="09BA2E8E"/>
    <w:rsid w:val="0D802159"/>
    <w:rsid w:val="0E7177BA"/>
    <w:rsid w:val="0E9D48FD"/>
    <w:rsid w:val="15BD443E"/>
    <w:rsid w:val="16B44FF7"/>
    <w:rsid w:val="185D3418"/>
    <w:rsid w:val="1E4326EB"/>
    <w:rsid w:val="20B33A8C"/>
    <w:rsid w:val="20C36752"/>
    <w:rsid w:val="20EC3856"/>
    <w:rsid w:val="23EF67F3"/>
    <w:rsid w:val="2403106A"/>
    <w:rsid w:val="2BE81B71"/>
    <w:rsid w:val="2E7C76FF"/>
    <w:rsid w:val="33777940"/>
    <w:rsid w:val="353F5DD4"/>
    <w:rsid w:val="359128DC"/>
    <w:rsid w:val="3EAB492C"/>
    <w:rsid w:val="3EB01941"/>
    <w:rsid w:val="40785C7E"/>
    <w:rsid w:val="428D42CB"/>
    <w:rsid w:val="469B26A0"/>
    <w:rsid w:val="473E4DBF"/>
    <w:rsid w:val="478A4E4B"/>
    <w:rsid w:val="4D2B7451"/>
    <w:rsid w:val="566E2804"/>
    <w:rsid w:val="5EA775B0"/>
    <w:rsid w:val="656E3247"/>
    <w:rsid w:val="6CC06FD1"/>
    <w:rsid w:val="6CD72999"/>
    <w:rsid w:val="6CEC14A9"/>
    <w:rsid w:val="72E41F4B"/>
    <w:rsid w:val="7910391A"/>
    <w:rsid w:val="7CFE4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2021-11-29T08:51:00Z</dcterms:created>
  <dc:creator>Administrator</dc:creator>
  <cp:lastModifiedBy>Administrator</cp:lastModifiedBy>
  <dcterms:modified xsi:type="dcterms:W3CDTF">2021-12-07T02:54:34Z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A3A1B29DCA7243BEA91EE4474F5CCA04</vt:lpwstr>
  </property>
</Properties>
</file>