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color="auto" w:fill="FFFFFF"/>
          <w:lang w:val="en-US" w:eastAsia="zh-CN"/>
        </w:rPr>
        <w:t>湛河区</w:t>
      </w: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安全生产委员会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i w:val="0"/>
          <w:caps w:val="0"/>
          <w:color w:val="auto"/>
          <w:spacing w:val="0"/>
          <w:sz w:val="44"/>
          <w:szCs w:val="44"/>
          <w:shd w:val="clear" w:color="auto" w:fill="FFFFFF"/>
        </w:rPr>
        <w:t>关于印发</w:t>
      </w:r>
      <w:r>
        <w:rPr>
          <w:rFonts w:hint="eastAsia" w:ascii="方正小标宋简体" w:hAnsi="方正小标宋简体" w:eastAsia="方正小标宋简体" w:cs="方正小标宋简体"/>
          <w:b w:val="0"/>
          <w:i w:val="0"/>
          <w:caps w:val="0"/>
          <w:color w:val="auto"/>
          <w:spacing w:val="0"/>
          <w:sz w:val="44"/>
          <w:szCs w:val="44"/>
          <w:shd w:val="clear" w:color="auto" w:fill="FFFFFF"/>
          <w:lang w:val="en-US" w:eastAsia="zh-CN"/>
        </w:rPr>
        <w:t>湛河区</w:t>
      </w:r>
      <w:r>
        <w:rPr>
          <w:rFonts w:hint="eastAsia" w:ascii="方正小标宋简体" w:hAnsi="方正小标宋简体" w:eastAsia="方正小标宋简体" w:cs="方正小标宋简体"/>
          <w:b w:val="0"/>
          <w:i w:val="0"/>
          <w:caps w:val="0"/>
          <w:color w:val="auto"/>
          <w:spacing w:val="0"/>
          <w:sz w:val="44"/>
          <w:szCs w:val="44"/>
          <w:shd w:val="clear" w:color="auto" w:fill="FFFFFF"/>
        </w:rPr>
        <w:t>城镇燃气安全</w:t>
      </w: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排查</w:t>
      </w:r>
      <w:r>
        <w:rPr>
          <w:rFonts w:hint="eastAsia" w:ascii="方正小标宋简体" w:hAnsi="方正小标宋简体" w:eastAsia="方正小标宋简体" w:cs="方正小标宋简体"/>
          <w:b w:val="0"/>
          <w:i w:val="0"/>
          <w:caps w:val="0"/>
          <w:color w:val="auto"/>
          <w:spacing w:val="0"/>
          <w:sz w:val="44"/>
          <w:szCs w:val="44"/>
          <w:shd w:val="clear" w:color="auto" w:fill="FFFFFF"/>
        </w:rPr>
        <w:t>整治百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i w:val="0"/>
          <w:caps w:val="0"/>
          <w:color w:val="auto"/>
          <w:spacing w:val="0"/>
          <w:sz w:val="44"/>
          <w:szCs w:val="44"/>
          <w:shd w:val="clear" w:color="auto" w:fill="FFFFFF"/>
        </w:rPr>
        <w:t>日行动方案的通知</w:t>
      </w:r>
    </w:p>
    <w:p>
      <w:pPr>
        <w:rPr>
          <w:rFonts w:hint="eastAsi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平湛安〔2022〕19号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Cs/>
          <w:snapToGrid/>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after="0" w:afterLines="0" w:line="580" w:lineRule="exact"/>
        <w:ind w:left="0" w:leftChars="0" w:firstLine="0" w:firstLineChars="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安委会有关成员单位，各燃气企业</w:t>
      </w:r>
      <w:r>
        <w:rPr>
          <w:rFonts w:hint="eastAsia" w:ascii="仿宋_GB2312" w:hAnsi="仿宋_GB2312" w:eastAsia="仿宋_GB2312" w:cs="仿宋_GB2312"/>
          <w:i w:val="0"/>
          <w:caps w:val="0"/>
          <w:color w:val="333333"/>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湛河区</w:t>
      </w:r>
      <w:r>
        <w:rPr>
          <w:rFonts w:hint="eastAsia" w:ascii="仿宋_GB2312" w:hAnsi="仿宋_GB2312" w:eastAsia="仿宋_GB2312" w:cs="仿宋_GB2312"/>
          <w:i w:val="0"/>
          <w:caps w:val="0"/>
          <w:color w:val="000000"/>
          <w:spacing w:val="0"/>
          <w:sz w:val="32"/>
          <w:szCs w:val="32"/>
          <w:shd w:val="clear" w:color="auto" w:fill="FFFFFF"/>
        </w:rPr>
        <w:t>城镇燃气安全</w:t>
      </w:r>
      <w:r>
        <w:rPr>
          <w:rFonts w:hint="eastAsia" w:ascii="仿宋_GB2312" w:hAnsi="仿宋_GB2312" w:eastAsia="仿宋_GB2312" w:cs="仿宋_GB2312"/>
          <w:i w:val="0"/>
          <w:caps w:val="0"/>
          <w:color w:val="000000"/>
          <w:spacing w:val="0"/>
          <w:sz w:val="32"/>
          <w:szCs w:val="32"/>
          <w:shd w:val="clear" w:color="auto" w:fill="FFFFFF"/>
          <w:lang w:eastAsia="zh-CN"/>
        </w:rPr>
        <w:t>排查</w:t>
      </w:r>
      <w:r>
        <w:rPr>
          <w:rFonts w:hint="eastAsia" w:ascii="仿宋_GB2312" w:hAnsi="仿宋_GB2312" w:eastAsia="仿宋_GB2312" w:cs="仿宋_GB2312"/>
          <w:i w:val="0"/>
          <w:caps w:val="0"/>
          <w:color w:val="000000"/>
          <w:spacing w:val="0"/>
          <w:sz w:val="32"/>
          <w:szCs w:val="32"/>
          <w:shd w:val="clear" w:color="auto" w:fill="FFFFFF"/>
        </w:rPr>
        <w:t>整治百日行动方案》</w:t>
      </w:r>
      <w:r>
        <w:rPr>
          <w:rFonts w:hint="eastAsia" w:ascii="仿宋_GB2312" w:hAnsi="仿宋_GB2312" w:eastAsia="仿宋_GB2312" w:cs="仿宋_GB2312"/>
          <w:i w:val="0"/>
          <w:caps w:val="0"/>
          <w:color w:val="000000"/>
          <w:spacing w:val="0"/>
          <w:sz w:val="32"/>
          <w:szCs w:val="32"/>
          <w:shd w:val="clear" w:color="auto" w:fill="FFFFFF"/>
          <w:lang w:eastAsia="zh-CN"/>
        </w:rPr>
        <w:t>已</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区</w:t>
      </w:r>
      <w:r>
        <w:rPr>
          <w:rFonts w:hint="eastAsia" w:ascii="仿宋_GB2312" w:hAnsi="仿宋_GB2312" w:eastAsia="仿宋_GB2312" w:cs="仿宋_GB2312"/>
          <w:i w:val="0"/>
          <w:caps w:val="0"/>
          <w:color w:val="000000"/>
          <w:spacing w:val="0"/>
          <w:sz w:val="32"/>
          <w:szCs w:val="32"/>
          <w:shd w:val="clear" w:color="auto" w:fill="FFFFFF"/>
        </w:rPr>
        <w:t>政府同意</w:t>
      </w:r>
      <w:r>
        <w:rPr>
          <w:rFonts w:hint="eastAsia" w:ascii="仿宋_GB2312" w:hAnsi="仿宋_GB2312" w:eastAsia="仿宋_GB2312" w:cs="仿宋_GB2312"/>
          <w:i w:val="0"/>
          <w:caps w:val="0"/>
          <w:color w:val="000000"/>
          <w:spacing w:val="0"/>
          <w:sz w:val="32"/>
          <w:szCs w:val="32"/>
          <w:shd w:val="clear" w:color="auto" w:fill="FFFFFF"/>
          <w:lang w:eastAsia="zh-CN"/>
        </w:rPr>
        <w:t>，现</w:t>
      </w:r>
      <w:r>
        <w:rPr>
          <w:rFonts w:hint="eastAsia" w:ascii="仿宋_GB2312" w:hAnsi="仿宋_GB2312" w:eastAsia="仿宋_GB2312" w:cs="仿宋_GB2312"/>
          <w:i w:val="0"/>
          <w:caps w:val="0"/>
          <w:color w:val="000000"/>
          <w:spacing w:val="0"/>
          <w:sz w:val="32"/>
          <w:szCs w:val="32"/>
          <w:shd w:val="clear" w:color="auto" w:fill="FFFFFF"/>
        </w:rPr>
        <w:t>印发给你们，请</w:t>
      </w:r>
      <w:r>
        <w:rPr>
          <w:rFonts w:hint="eastAsia" w:ascii="仿宋_GB2312" w:hAnsi="仿宋_GB2312" w:eastAsia="仿宋_GB2312" w:cs="仿宋_GB2312"/>
          <w:i w:val="0"/>
          <w:caps w:val="0"/>
          <w:color w:val="000000"/>
          <w:spacing w:val="0"/>
          <w:sz w:val="32"/>
          <w:szCs w:val="32"/>
          <w:shd w:val="clear" w:color="auto" w:fill="FFFFFF"/>
          <w:lang w:eastAsia="zh-CN"/>
        </w:rPr>
        <w:t>认真</w:t>
      </w:r>
      <w:r>
        <w:rPr>
          <w:rFonts w:hint="eastAsia" w:ascii="仿宋_GB2312" w:hAnsi="仿宋_GB2312" w:eastAsia="仿宋_GB2312" w:cs="仿宋_GB2312"/>
          <w:i w:val="0"/>
          <w:caps w:val="0"/>
          <w:color w:val="000000"/>
          <w:spacing w:val="0"/>
          <w:sz w:val="32"/>
          <w:szCs w:val="32"/>
          <w:shd w:val="clear" w:color="auto" w:fill="FFFFFF"/>
        </w:rPr>
        <w:t>贯彻落实。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caps w:val="0"/>
          <w:color w:val="000000"/>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2022年7</w:t>
      </w:r>
      <w:r>
        <w:rPr>
          <w:rFonts w:hint="eastAsia" w:ascii="仿宋_GB2312" w:hAnsi="仿宋_GB2312" w:eastAsia="仿宋_GB2312" w:cs="仿宋_GB2312"/>
          <w:i w:val="0"/>
          <w:caps w:val="0"/>
          <w:color w:val="000000"/>
          <w:spacing w:val="0"/>
          <w:sz w:val="32"/>
          <w:szCs w:val="32"/>
          <w:shd w:val="clear" w:color="auto" w:fill="FFFFFF"/>
          <w:lang w:eastAsia="zh-CN"/>
        </w:rPr>
        <w:t>月</w:t>
      </w:r>
      <w:r>
        <w:rPr>
          <w:rFonts w:hint="eastAsia" w:ascii="仿宋_GB2312" w:hAnsi="仿宋_GB2312" w:eastAsia="仿宋_GB2312" w:cs="仿宋_GB2312"/>
          <w:i w:val="0"/>
          <w:caps w:val="0"/>
          <w:color w:val="000000"/>
          <w:spacing w:val="0"/>
          <w:sz w:val="32"/>
          <w:szCs w:val="32"/>
          <w:shd w:val="clear" w:color="auto" w:fill="FFFFFF"/>
          <w:lang w:val="en-US" w:eastAsia="zh-CN"/>
        </w:rPr>
        <w:t>29</w:t>
      </w:r>
      <w:r>
        <w:rPr>
          <w:rFonts w:hint="eastAsia" w:ascii="仿宋_GB2312" w:hAnsi="仿宋_GB2312" w:eastAsia="仿宋_GB2312" w:cs="仿宋_GB2312"/>
          <w:i w:val="0"/>
          <w:caps w:val="0"/>
          <w:color w:val="000000"/>
          <w:spacing w:val="0"/>
          <w:sz w:val="32"/>
          <w:szCs w:val="32"/>
          <w:shd w:val="clear" w:color="auto" w:fill="FFFFFF"/>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120" w:firstLineChars="1600"/>
        <w:jc w:val="righ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shd w:val="clear" w:color="auto" w:fill="FFFFFF"/>
        </w:rPr>
      </w:pPr>
      <w:r>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t>湛河区</w:t>
      </w:r>
      <w:r>
        <w:rPr>
          <w:rFonts w:hint="eastAsia" w:ascii="方正小标宋简体" w:hAnsi="方正小标宋简体" w:eastAsia="方正小标宋简体" w:cs="方正小标宋简体"/>
          <w:i w:val="0"/>
          <w:caps w:val="0"/>
          <w:color w:val="000000"/>
          <w:spacing w:val="0"/>
          <w:sz w:val="44"/>
          <w:szCs w:val="44"/>
          <w:shd w:val="clear" w:color="auto" w:fill="FFFFFF"/>
        </w:rPr>
        <w:t>城镇燃气安全</w:t>
      </w: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排查</w:t>
      </w:r>
      <w:r>
        <w:rPr>
          <w:rFonts w:hint="eastAsia" w:ascii="方正小标宋简体" w:hAnsi="方正小标宋简体" w:eastAsia="方正小标宋简体" w:cs="方正小标宋简体"/>
          <w:i w:val="0"/>
          <w:caps w:val="0"/>
          <w:color w:val="000000"/>
          <w:spacing w:val="0"/>
          <w:sz w:val="44"/>
          <w:szCs w:val="44"/>
          <w:shd w:val="clear" w:color="auto" w:fill="FFFFFF"/>
        </w:rPr>
        <w:t>整治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shd w:val="clear" w:color="auto" w:fill="FFFFFF"/>
        </w:rPr>
      </w:pPr>
      <w:r>
        <w:rPr>
          <w:rFonts w:hint="eastAsia" w:ascii="方正小标宋简体" w:hAnsi="方正小标宋简体" w:eastAsia="方正小标宋简体" w:cs="方正小标宋简体"/>
          <w:i w:val="0"/>
          <w:caps w:val="0"/>
          <w:color w:val="000000"/>
          <w:spacing w:val="0"/>
          <w:sz w:val="44"/>
          <w:szCs w:val="44"/>
          <w:shd w:val="clear" w:color="auto" w:fill="FFFFFF"/>
        </w:rPr>
        <w:t>百日行动方案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i w:val="0"/>
          <w:caps w:val="0"/>
          <w:color w:val="000000"/>
          <w:spacing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为坚决贯彻习近平总书记关于燃气安全一系列重要指示批示，落实党中央国务院、省委省政府的决策部署，根据《国务院安全生产委员会关于印发&lt;城镇燃气安全整治“百日行动”工作方案&gt;的通知》(安委〔2022〕8号)</w:t>
      </w:r>
      <w:r>
        <w:rPr>
          <w:rFonts w:hint="eastAsia" w:ascii="仿宋_GB2312" w:hAnsi="仿宋_GB2312" w:eastAsia="仿宋_GB2312" w:cs="仿宋_GB2312"/>
          <w:spacing w:val="0"/>
          <w:position w:val="0"/>
          <w:sz w:val="32"/>
          <w:szCs w:val="32"/>
          <w:lang w:eastAsia="zh-CN"/>
        </w:rPr>
        <w:t>《河南省安全生产委员会关于印发全省城镇燃气安全排查整治百日行动方案的通知》（豫安委</w:t>
      </w:r>
      <w:r>
        <w:rPr>
          <w:rFonts w:hint="eastAsia" w:ascii="仿宋_GB2312" w:hAnsi="仿宋_GB2312" w:eastAsia="仿宋_GB2312" w:cs="仿宋_GB2312"/>
          <w:spacing w:val="0"/>
          <w:position w:val="0"/>
          <w:sz w:val="32"/>
          <w:szCs w:val="32"/>
        </w:rPr>
        <w:t>〔2022〕</w:t>
      </w:r>
      <w:r>
        <w:rPr>
          <w:rFonts w:hint="eastAsia" w:ascii="仿宋_GB2312" w:hAnsi="仿宋_GB2312" w:eastAsia="仿宋_GB2312" w:cs="仿宋_GB2312"/>
          <w:spacing w:val="0"/>
          <w:position w:val="0"/>
          <w:sz w:val="32"/>
          <w:szCs w:val="32"/>
          <w:lang w:val="en-US" w:eastAsia="zh-CN"/>
        </w:rPr>
        <w:t>18号</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spacing w:val="0"/>
          <w:position w:val="0"/>
          <w:sz w:val="32"/>
          <w:szCs w:val="32"/>
          <w:lang w:val="en-US" w:eastAsia="zh-CN"/>
        </w:rPr>
        <w:t>平顶山市</w:t>
      </w:r>
      <w:r>
        <w:rPr>
          <w:rFonts w:hint="eastAsia" w:ascii="仿宋_GB2312" w:hAnsi="仿宋_GB2312" w:eastAsia="仿宋_GB2312" w:cs="仿宋_GB2312"/>
          <w:i w:val="0"/>
          <w:caps w:val="0"/>
          <w:color w:val="000000"/>
          <w:spacing w:val="0"/>
          <w:sz w:val="32"/>
          <w:szCs w:val="32"/>
          <w:shd w:val="clear" w:color="auto" w:fill="FFFFFF"/>
        </w:rPr>
        <w:t>城镇燃气安全</w:t>
      </w:r>
      <w:r>
        <w:rPr>
          <w:rFonts w:hint="eastAsia" w:ascii="仿宋_GB2312" w:hAnsi="仿宋_GB2312" w:eastAsia="仿宋_GB2312" w:cs="仿宋_GB2312"/>
          <w:i w:val="0"/>
          <w:caps w:val="0"/>
          <w:color w:val="000000"/>
          <w:spacing w:val="0"/>
          <w:sz w:val="32"/>
          <w:szCs w:val="32"/>
          <w:shd w:val="clear" w:color="auto" w:fill="FFFFFF"/>
          <w:lang w:eastAsia="zh-CN"/>
        </w:rPr>
        <w:t>排查</w:t>
      </w:r>
      <w:r>
        <w:rPr>
          <w:rFonts w:hint="eastAsia" w:ascii="仿宋_GB2312" w:hAnsi="仿宋_GB2312" w:eastAsia="仿宋_GB2312" w:cs="仿宋_GB2312"/>
          <w:i w:val="0"/>
          <w:caps w:val="0"/>
          <w:color w:val="000000"/>
          <w:spacing w:val="0"/>
          <w:sz w:val="32"/>
          <w:szCs w:val="32"/>
          <w:shd w:val="clear" w:color="auto" w:fill="FFFFFF"/>
        </w:rPr>
        <w:t>整治百日行动方案》</w:t>
      </w:r>
      <w:r>
        <w:rPr>
          <w:rFonts w:hint="eastAsia" w:ascii="仿宋_GB2312" w:hAnsi="仿宋_GB2312" w:eastAsia="仿宋_GB2312" w:cs="仿宋_GB2312"/>
          <w:spacing w:val="0"/>
          <w:position w:val="0"/>
          <w:sz w:val="32"/>
          <w:szCs w:val="32"/>
          <w:lang w:eastAsia="zh-CN"/>
        </w:rPr>
        <w:t>和</w:t>
      </w:r>
      <w:r>
        <w:rPr>
          <w:rFonts w:hint="eastAsia" w:ascii="仿宋_GB2312" w:hAnsi="仿宋_GB2312" w:eastAsia="仿宋_GB2312" w:cs="仿宋_GB2312"/>
          <w:spacing w:val="0"/>
          <w:position w:val="0"/>
          <w:sz w:val="32"/>
          <w:szCs w:val="32"/>
        </w:rPr>
        <w:t>全国</w:t>
      </w:r>
      <w:r>
        <w:rPr>
          <w:rFonts w:hint="eastAsia" w:ascii="仿宋_GB2312" w:hAnsi="仿宋_GB2312" w:eastAsia="仿宋_GB2312" w:cs="仿宋_GB2312"/>
          <w:spacing w:val="0"/>
          <w:position w:val="0"/>
          <w:sz w:val="32"/>
          <w:szCs w:val="32"/>
          <w:lang w:eastAsia="zh-CN"/>
        </w:rPr>
        <w:t>、全省</w:t>
      </w:r>
      <w:r>
        <w:rPr>
          <w:rFonts w:hint="eastAsia" w:ascii="仿宋_GB2312" w:hAnsi="仿宋_GB2312" w:eastAsia="仿宋_GB2312" w:cs="仿宋_GB2312"/>
          <w:spacing w:val="0"/>
          <w:position w:val="0"/>
          <w:sz w:val="32"/>
          <w:szCs w:val="32"/>
        </w:rPr>
        <w:t>燃气安全防范工作视频会有关要求，进一步推动全</w:t>
      </w:r>
      <w:r>
        <w:rPr>
          <w:rFonts w:hint="eastAsia" w:ascii="仿宋_GB2312" w:hAnsi="仿宋_GB2312" w:eastAsia="仿宋_GB2312" w:cs="仿宋_GB2312"/>
          <w:spacing w:val="0"/>
          <w:position w:val="0"/>
          <w:sz w:val="32"/>
          <w:szCs w:val="32"/>
          <w:lang w:eastAsia="zh-CN"/>
        </w:rPr>
        <w:t>市</w:t>
      </w:r>
      <w:r>
        <w:rPr>
          <w:rFonts w:hint="eastAsia" w:ascii="仿宋_GB2312" w:hAnsi="仿宋_GB2312" w:eastAsia="仿宋_GB2312" w:cs="仿宋_GB2312"/>
          <w:spacing w:val="0"/>
          <w:position w:val="0"/>
          <w:sz w:val="32"/>
          <w:szCs w:val="32"/>
        </w:rPr>
        <w:t>城镇燃气安全排查整治工作深化细化实化。经研究，在全</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集中开展城镇燃气安全排查整治百日行动(以下简称百日行动)</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现制定以下行动方案。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i w:val="0"/>
          <w:caps w:val="0"/>
          <w:color w:val="333333"/>
          <w:spacing w:val="0"/>
          <w:position w:val="0"/>
          <w:sz w:val="32"/>
          <w:szCs w:val="32"/>
        </w:rPr>
      </w:pPr>
      <w:r>
        <w:rPr>
          <w:rFonts w:hint="eastAsia" w:ascii="黑体" w:hAnsi="黑体" w:eastAsia="黑体" w:cs="黑体"/>
          <w:b w:val="0"/>
          <w:bCs w:val="0"/>
          <w:i w:val="0"/>
          <w:caps w:val="0"/>
          <w:color w:val="000000"/>
          <w:spacing w:val="0"/>
          <w:position w:val="0"/>
          <w:sz w:val="32"/>
          <w:szCs w:val="32"/>
          <w:shd w:val="clear" w:color="auto" w:fill="FFFFFF"/>
        </w:rPr>
        <w:t>一、总体要求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333333"/>
          <w:spacing w:val="0"/>
          <w:position w:val="0"/>
          <w:sz w:val="32"/>
          <w:szCs w:val="32"/>
        </w:rPr>
      </w:pPr>
      <w:r>
        <w:rPr>
          <w:rFonts w:hint="eastAsia" w:ascii="仿宋_GB2312" w:hAnsi="仿宋_GB2312" w:eastAsia="仿宋_GB2312" w:cs="仿宋_GB2312"/>
          <w:i w:val="0"/>
          <w:caps w:val="0"/>
          <w:color w:val="000000"/>
          <w:spacing w:val="0"/>
          <w:position w:val="0"/>
          <w:sz w:val="32"/>
          <w:szCs w:val="32"/>
          <w:shd w:val="clear" w:color="auto" w:fill="FFFFFF"/>
        </w:rPr>
        <w:t>以习近平新时代中国特色社会主义思想为指导，深入贯彻落实习近平总书记关于安全生产特别是燃气安全工作的重要指示精神，坚持人民至上、生命至上，深刻认识抓好燃气安全工作的重要性、紧迫性，全面检查、</w:t>
      </w:r>
      <w:r>
        <w:rPr>
          <w:rFonts w:hint="eastAsia" w:ascii="仿宋_GB2312" w:hAnsi="仿宋_GB2312" w:eastAsia="仿宋_GB2312" w:cs="仿宋_GB2312"/>
          <w:i w:val="0"/>
          <w:caps w:val="0"/>
          <w:color w:val="000000"/>
          <w:spacing w:val="0"/>
          <w:position w:val="0"/>
          <w:sz w:val="32"/>
          <w:szCs w:val="32"/>
          <w:shd w:val="clear" w:color="auto" w:fill="FFFFFF"/>
          <w:lang w:eastAsia="zh-CN"/>
        </w:rPr>
        <w:t>紧盯重部署轻落实、排查整治不认真不负责、监管执法宽松软等问题，</w:t>
      </w:r>
      <w:r>
        <w:rPr>
          <w:rFonts w:hint="eastAsia" w:ascii="仿宋_GB2312" w:hAnsi="仿宋_GB2312" w:eastAsia="仿宋_GB2312" w:cs="仿宋_GB2312"/>
          <w:i w:val="0"/>
          <w:caps w:val="0"/>
          <w:color w:val="000000"/>
          <w:spacing w:val="0"/>
          <w:position w:val="0"/>
          <w:sz w:val="32"/>
          <w:szCs w:val="32"/>
          <w:shd w:val="clear" w:color="auto" w:fill="FFFFFF"/>
        </w:rPr>
        <w:t>聚焦关系公共安全的餐饮等人员密集场所，以坚决的态度、坚决的行动，集中力量整治燃气安全领域突出问题，严厉打击威胁燃气安全的严重违法行为，坚决遏制发生在人民群众身边、严重影响人民群众安全感的燃气事故，促进</w:t>
      </w:r>
      <w:r>
        <w:rPr>
          <w:rFonts w:hint="eastAsia" w:ascii="仿宋_GB2312" w:hAnsi="仿宋_GB2312" w:eastAsia="仿宋_GB2312" w:cs="仿宋_GB2312"/>
          <w:i w:val="0"/>
          <w:caps w:val="0"/>
          <w:color w:val="000000"/>
          <w:spacing w:val="0"/>
          <w:position w:val="0"/>
          <w:sz w:val="32"/>
          <w:szCs w:val="32"/>
          <w:shd w:val="clear" w:color="auto" w:fill="FFFFFF"/>
          <w:lang w:eastAsia="zh-CN"/>
        </w:rPr>
        <w:t>全</w:t>
      </w:r>
      <w:r>
        <w:rPr>
          <w:rFonts w:hint="eastAsia" w:ascii="仿宋_GB2312" w:hAnsi="仿宋_GB2312" w:eastAsia="仿宋_GB2312" w:cs="仿宋_GB2312"/>
          <w:i w:val="0"/>
          <w:caps w:val="0"/>
          <w:color w:val="000000"/>
          <w:spacing w:val="0"/>
          <w:position w:val="0"/>
          <w:sz w:val="32"/>
          <w:szCs w:val="32"/>
          <w:shd w:val="clear" w:color="auto" w:fill="FFFFFF"/>
          <w:lang w:val="en-US" w:eastAsia="zh-CN"/>
        </w:rPr>
        <w:t>区</w:t>
      </w:r>
      <w:r>
        <w:rPr>
          <w:rFonts w:hint="eastAsia" w:ascii="仿宋_GB2312" w:hAnsi="仿宋_GB2312" w:eastAsia="仿宋_GB2312" w:cs="仿宋_GB2312"/>
          <w:i w:val="0"/>
          <w:caps w:val="0"/>
          <w:color w:val="000000"/>
          <w:spacing w:val="0"/>
          <w:position w:val="0"/>
          <w:sz w:val="32"/>
          <w:szCs w:val="32"/>
          <w:shd w:val="clear" w:color="auto" w:fill="FFFFFF"/>
        </w:rPr>
        <w:t>安全生产形势持续稳定，以实际行动迎接党的二十大胜利召开。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二、重点整治内容</w:t>
      </w:r>
    </w:p>
    <w:p>
      <w:pPr>
        <w:keepNext w:val="0"/>
        <w:keepLines w:val="0"/>
        <w:pageBreakBefore w:val="0"/>
        <w:kinsoku/>
        <w:wordWrap/>
        <w:overflowPunct/>
        <w:topLinePunct w:val="0"/>
        <w:autoSpaceDE/>
        <w:autoSpaceDN/>
        <w:bidi w:val="0"/>
        <w:adjustRightInd/>
        <w:snapToGrid/>
        <w:spacing w:line="580" w:lineRule="exact"/>
        <w:ind w:right="154"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从即日起至10月底，在全</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开展百日行动。百日行动要聚焦影响公共安全的场所，突出燃气经营、运输配送、用户使用、工程施工、燃气具生产销售5个关键环节，围绕21个方面的典型问题开展“清单式”排查整治，坚决防控可能发生群死群伤的重大风险。</w:t>
      </w:r>
    </w:p>
    <w:p>
      <w:pPr>
        <w:keepNext w:val="0"/>
        <w:keepLines w:val="0"/>
        <w:pageBreakBefore w:val="0"/>
        <w:numPr>
          <w:ilvl w:val="0"/>
          <w:numId w:val="0"/>
        </w:numPr>
        <w:kinsoku/>
        <w:wordWrap/>
        <w:overflowPunct/>
        <w:topLinePunct w:val="0"/>
        <w:autoSpaceDE/>
        <w:autoSpaceDN/>
        <w:bidi w:val="0"/>
        <w:adjustRightInd/>
        <w:snapToGrid/>
        <w:spacing w:line="580" w:lineRule="exact"/>
        <w:ind w:right="1487" w:rightChars="0" w:firstLine="640" w:firstLineChars="200"/>
        <w:textAlignment w:val="auto"/>
        <w:rPr>
          <w:rFonts w:hint="eastAsia" w:ascii="楷体_GB2312" w:hAnsi="楷体_GB2312" w:eastAsia="楷体_GB2312" w:cs="楷体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（一）</w:t>
      </w:r>
      <w:r>
        <w:rPr>
          <w:rFonts w:hint="eastAsia" w:ascii="楷体_GB2312" w:hAnsi="楷体_GB2312" w:eastAsia="楷体_GB2312" w:cs="楷体_GB2312"/>
          <w:b w:val="0"/>
          <w:bCs w:val="0"/>
          <w:spacing w:val="0"/>
          <w:position w:val="0"/>
          <w:sz w:val="32"/>
          <w:szCs w:val="32"/>
        </w:rPr>
        <w:t>燃气经营环节问题</w:t>
      </w:r>
      <w:r>
        <w:rPr>
          <w:rFonts w:hint="eastAsia" w:ascii="楷体_GB2312" w:hAnsi="楷体_GB2312" w:eastAsia="楷体_GB2312" w:cs="楷体_GB2312"/>
          <w:spacing w:val="0"/>
          <w:positio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燃气经营企业、充装企业未取得相关许可</w:t>
      </w:r>
      <w:r>
        <w:rPr>
          <w:rFonts w:hint="eastAsia" w:ascii="仿宋_GB2312" w:hAnsi="仿宋_GB2312" w:eastAsia="仿宋_GB2312" w:cs="仿宋_GB2312"/>
          <w:spacing w:val="0"/>
          <w:position w:val="0"/>
          <w:sz w:val="32"/>
          <w:szCs w:val="32"/>
          <w:lang w:eastAsia="zh-CN"/>
        </w:rPr>
        <w:t>证</w:t>
      </w:r>
      <w:r>
        <w:rPr>
          <w:rFonts w:hint="eastAsia" w:ascii="仿宋_GB2312" w:hAnsi="仿宋_GB2312" w:eastAsia="仿宋_GB2312" w:cs="仿宋_GB2312"/>
          <w:spacing w:val="0"/>
          <w:position w:val="0"/>
          <w:sz w:val="32"/>
          <w:szCs w:val="32"/>
        </w:rPr>
        <w:t>书。</w:t>
      </w:r>
    </w:p>
    <w:p>
      <w:pPr>
        <w:keepNext w:val="0"/>
        <w:keepLines w:val="0"/>
        <w:pageBreakBefore w:val="0"/>
        <w:kinsoku/>
        <w:wordWrap/>
        <w:overflowPunct/>
        <w:topLinePunct w:val="0"/>
        <w:autoSpaceDE/>
        <w:autoSpaceDN/>
        <w:bidi w:val="0"/>
        <w:adjustRightInd/>
        <w:snapToGrid/>
        <w:spacing w:line="580" w:lineRule="exact"/>
        <w:ind w:right="158"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2.企业主要负责人和安全生产管理人员未经专业培训并考核合格</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特种作业人员无从业资格证书</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运行维护和抢修人员数量达不到要求。</w:t>
      </w:r>
    </w:p>
    <w:p>
      <w:pPr>
        <w:keepNext w:val="0"/>
        <w:keepLines w:val="0"/>
        <w:pageBreakBefore w:val="0"/>
        <w:kinsoku/>
        <w:wordWrap/>
        <w:overflowPunct/>
        <w:topLinePunct w:val="0"/>
        <w:autoSpaceDE/>
        <w:autoSpaceDN/>
        <w:bidi w:val="0"/>
        <w:adjustRightInd/>
        <w:snapToGrid/>
        <w:spacing w:line="580" w:lineRule="exact"/>
        <w:ind w:right="145"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3.违规充装非自有产权、超期未检、超过报废期限气瓶或翻新“黑气瓶”。</w:t>
      </w:r>
    </w:p>
    <w:p>
      <w:pPr>
        <w:keepNext w:val="0"/>
        <w:keepLines w:val="0"/>
        <w:pageBreakBefore w:val="0"/>
        <w:kinsoku/>
        <w:wordWrap/>
        <w:overflowPunct/>
        <w:topLinePunct w:val="0"/>
        <w:autoSpaceDE/>
        <w:autoSpaceDN/>
        <w:bidi w:val="0"/>
        <w:adjustRightInd/>
        <w:snapToGrid/>
        <w:spacing w:line="580" w:lineRule="exact"/>
        <w:ind w:right="136"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4.未按规定加臭;违规在液化石油气中添加二甲醚</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违规倒装液化石油气。</w:t>
      </w:r>
    </w:p>
    <w:p>
      <w:pPr>
        <w:keepNext w:val="0"/>
        <w:keepLines w:val="0"/>
        <w:pageBreakBefore w:val="0"/>
        <w:kinsoku/>
        <w:wordWrap/>
        <w:overflowPunct/>
        <w:topLinePunct w:val="0"/>
        <w:autoSpaceDE/>
        <w:autoSpaceDN/>
        <w:bidi w:val="0"/>
        <w:adjustRightInd/>
        <w:snapToGrid/>
        <w:spacing w:line="580" w:lineRule="exact"/>
        <w:ind w:right="149"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5.未按规定进行入户安检并督促隐患整改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维护和检修质量未达到标准要求。</w:t>
      </w:r>
    </w:p>
    <w:p>
      <w:pPr>
        <w:keepNext w:val="0"/>
        <w:keepLines w:val="0"/>
        <w:pageBreakBefore w:val="0"/>
        <w:kinsoku/>
        <w:wordWrap/>
        <w:overflowPunct/>
        <w:topLinePunct w:val="0"/>
        <w:autoSpaceDE/>
        <w:autoSpaceDN/>
        <w:bidi w:val="0"/>
        <w:adjustRightInd/>
        <w:snapToGrid/>
        <w:spacing w:line="580" w:lineRule="exact"/>
        <w:ind w:right="149"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6.未建立安全管理制度机制</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双重预防体系照抄照搬</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人员培训未取得实质性成果。</w:t>
      </w:r>
    </w:p>
    <w:p>
      <w:pPr>
        <w:keepNext w:val="0"/>
        <w:keepLines w:val="0"/>
        <w:pageBreakBefore w:val="0"/>
        <w:kinsoku/>
        <w:wordWrap/>
        <w:overflowPunct/>
        <w:topLinePunct w:val="0"/>
        <w:autoSpaceDE/>
        <w:autoSpaceDN/>
        <w:bidi w:val="0"/>
        <w:adjustRightInd/>
        <w:snapToGrid/>
        <w:spacing w:line="580" w:lineRule="exact"/>
        <w:ind w:right="24"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7.重大危险源管理不到位</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隐患排查治理未形成闭环</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安全监测和管网监测设备未有效运行。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pacing w:val="0"/>
          <w:position w:val="0"/>
          <w:sz w:val="32"/>
          <w:szCs w:val="32"/>
        </w:rPr>
      </w:pPr>
      <w:r>
        <w:rPr>
          <w:rFonts w:hint="eastAsia" w:ascii="楷体_GB2312" w:hAnsi="楷体_GB2312" w:eastAsia="楷体_GB2312" w:cs="楷体_GB2312"/>
          <w:b w:val="0"/>
          <w:bCs w:val="0"/>
          <w:spacing w:val="0"/>
          <w:position w:val="0"/>
          <w:sz w:val="32"/>
          <w:szCs w:val="32"/>
          <w:lang w:eastAsia="zh-CN"/>
        </w:rPr>
        <w:t>（二）</w:t>
      </w:r>
      <w:r>
        <w:rPr>
          <w:rFonts w:hint="eastAsia" w:ascii="楷体_GB2312" w:hAnsi="楷体_GB2312" w:eastAsia="楷体_GB2312" w:cs="楷体_GB2312"/>
          <w:b w:val="0"/>
          <w:bCs w:val="0"/>
          <w:spacing w:val="0"/>
          <w:position w:val="0"/>
          <w:sz w:val="32"/>
          <w:szCs w:val="32"/>
        </w:rPr>
        <w:t>燃气运输配送环节问题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8.不按规定对燃气管道巡线和实施定期检验。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9.未取得危险货物运输许可运输燃气</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运输燃气车辆未按规定进行保养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人员未取得承运资格证书。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10.未对瓶装液化石油气送气服务车辆实施统一管理。</w:t>
      </w:r>
    </w:p>
    <w:p>
      <w:pPr>
        <w:keepNext w:val="0"/>
        <w:keepLines w:val="0"/>
        <w:pageBreakBefore w:val="0"/>
        <w:kinsoku/>
        <w:wordWrap/>
        <w:overflowPunct/>
        <w:topLinePunct w:val="0"/>
        <w:autoSpaceDE/>
        <w:autoSpaceDN/>
        <w:bidi w:val="0"/>
        <w:adjustRightInd/>
        <w:snapToGrid/>
        <w:spacing w:line="580" w:lineRule="exact"/>
        <w:ind w:right="1653" w:firstLine="640" w:firstLineChars="200"/>
        <w:textAlignment w:val="auto"/>
        <w:rPr>
          <w:rFonts w:hint="eastAsia" w:ascii="仿宋_GB2312" w:hAnsi="仿宋_GB2312" w:eastAsia="仿宋_GB2312" w:cs="仿宋_GB2312"/>
          <w:b w:val="0"/>
          <w:bCs w:val="0"/>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（三）</w:t>
      </w:r>
      <w:r>
        <w:rPr>
          <w:rFonts w:hint="eastAsia" w:ascii="楷体_GB2312" w:hAnsi="楷体_GB2312" w:eastAsia="楷体_GB2312" w:cs="楷体_GB2312"/>
          <w:b w:val="0"/>
          <w:bCs w:val="0"/>
          <w:spacing w:val="0"/>
          <w:position w:val="0"/>
          <w:sz w:val="32"/>
          <w:szCs w:val="32"/>
        </w:rPr>
        <w:t xml:space="preserve">燃气用户使用环节问题  </w:t>
      </w:r>
      <w:r>
        <w:rPr>
          <w:rFonts w:hint="eastAsia" w:ascii="仿宋_GB2312" w:hAnsi="仿宋_GB2312" w:eastAsia="仿宋_GB2312" w:cs="仿宋_GB2312"/>
          <w:b w:val="0"/>
          <w:bCs w:val="0"/>
          <w:spacing w:val="0"/>
          <w:positio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right="1653"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11.使用无熄火保护装置、无3C认证的燃气具。</w:t>
      </w:r>
    </w:p>
    <w:p>
      <w:pPr>
        <w:keepNext w:val="0"/>
        <w:keepLines w:val="0"/>
        <w:pageBreakBefore w:val="0"/>
        <w:kinsoku/>
        <w:wordWrap/>
        <w:overflowPunct/>
        <w:topLinePunct w:val="0"/>
        <w:autoSpaceDE/>
        <w:autoSpaceDN/>
        <w:bidi w:val="0"/>
        <w:adjustRightInd/>
        <w:snapToGrid/>
        <w:spacing w:line="580" w:lineRule="exact"/>
        <w:ind w:right="53"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12.使用不合格的非金属连接软管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软管长度超过2米或私接“三通”</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软管老化松动;软管穿越墙体、门窗、顶棚和地面。</w:t>
      </w:r>
    </w:p>
    <w:p>
      <w:pPr>
        <w:keepNext w:val="0"/>
        <w:keepLines w:val="0"/>
        <w:pageBreakBefore w:val="0"/>
        <w:kinsoku/>
        <w:wordWrap/>
        <w:overflowPunct/>
        <w:topLinePunct w:val="0"/>
        <w:autoSpaceDE/>
        <w:autoSpaceDN/>
        <w:bidi w:val="0"/>
        <w:adjustRightInd/>
        <w:snapToGrid/>
        <w:spacing w:line="580" w:lineRule="exact"/>
        <w:ind w:right="303"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13.使用不符合国家标准的可调节压力液化石油气调压器。</w:t>
      </w:r>
    </w:p>
    <w:p>
      <w:pPr>
        <w:keepNext w:val="0"/>
        <w:keepLines w:val="0"/>
        <w:pageBreakBefore w:val="0"/>
        <w:kinsoku/>
        <w:wordWrap/>
        <w:overflowPunct/>
        <w:topLinePunct w:val="0"/>
        <w:autoSpaceDE/>
        <w:autoSpaceDN/>
        <w:bidi w:val="0"/>
        <w:adjustRightInd/>
        <w:snapToGrid/>
        <w:spacing w:line="580" w:lineRule="exact"/>
        <w:ind w:right="303"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14.使用不合格气瓶</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使用工业丙烷气瓶。</w:t>
      </w:r>
    </w:p>
    <w:p>
      <w:pPr>
        <w:keepNext w:val="0"/>
        <w:keepLines w:val="0"/>
        <w:pageBreakBefore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15.餐饮等场所未安装燃气泄漏报警器;报警器质量不达标、适用气型不符、安装位置不正确或不在工作状态。</w:t>
      </w:r>
    </w:p>
    <w:p>
      <w:pPr>
        <w:keepNext w:val="0"/>
        <w:keepLines w:val="0"/>
        <w:pageBreakBefore w:val="0"/>
        <w:kinsoku/>
        <w:wordWrap/>
        <w:overflowPunct/>
        <w:topLinePunct w:val="0"/>
        <w:autoSpaceDE/>
        <w:autoSpaceDN/>
        <w:bidi w:val="0"/>
        <w:adjustRightInd/>
        <w:snapToGrid/>
        <w:spacing w:line="580" w:lineRule="exact"/>
        <w:ind w:right="34"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16.在餐饮等人员密集场所室内设置液化石油气瓶，或存瓶总重量超过100千克但未设置专用气瓶间</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气瓶间未安装燃气泄漏报警器</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气瓶间违规设置在地下室和半地下室。</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（四）</w:t>
      </w:r>
      <w:r>
        <w:rPr>
          <w:rFonts w:hint="eastAsia" w:ascii="楷体_GB2312" w:hAnsi="楷体_GB2312" w:eastAsia="楷体_GB2312" w:cs="楷体_GB2312"/>
          <w:b w:val="0"/>
          <w:bCs w:val="0"/>
          <w:spacing w:val="0"/>
          <w:position w:val="0"/>
          <w:sz w:val="32"/>
          <w:szCs w:val="32"/>
        </w:rPr>
        <w:t xml:space="preserve">燃气工程施工环节问题。    </w:t>
      </w:r>
      <w:r>
        <w:rPr>
          <w:rFonts w:hint="eastAsia" w:ascii="仿宋_GB2312" w:hAnsi="仿宋_GB2312" w:eastAsia="仿宋_GB2312" w:cs="仿宋_GB2312"/>
          <w:spacing w:val="0"/>
          <w:position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17.燃气管道工程违法分包、转包、挂靠，不按设计方案施工。</w:t>
      </w:r>
    </w:p>
    <w:p>
      <w:pPr>
        <w:keepNext w:val="0"/>
        <w:keepLines w:val="0"/>
        <w:pageBreakBefore w:val="0"/>
        <w:kinsoku/>
        <w:wordWrap/>
        <w:overflowPunct/>
        <w:topLinePunct w:val="0"/>
        <w:autoSpaceDE/>
        <w:autoSpaceDN/>
        <w:bidi w:val="0"/>
        <w:adjustRightInd/>
        <w:snapToGrid/>
        <w:spacing w:line="580" w:lineRule="exact"/>
        <w:ind w:right="138"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18.新、改、扩建燃气压力管道未办理施工告知、监督检验不合格</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新建改造工程未经验收合格即投入使用。</w:t>
      </w:r>
    </w:p>
    <w:p>
      <w:pPr>
        <w:keepNext w:val="0"/>
        <w:keepLines w:val="0"/>
        <w:pageBreakBefore w:val="0"/>
        <w:kinsoku/>
        <w:wordWrap/>
        <w:overflowPunct/>
        <w:topLinePunct w:val="0"/>
        <w:autoSpaceDE/>
        <w:autoSpaceDN/>
        <w:bidi w:val="0"/>
        <w:adjustRightInd/>
        <w:snapToGrid/>
        <w:spacing w:line="580" w:lineRule="exact"/>
        <w:ind w:right="119"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19.未制订和落实燃气管道第三方施工保护制度</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涉</w:t>
      </w:r>
      <w:r>
        <w:rPr>
          <w:rFonts w:hint="eastAsia" w:ascii="仿宋_GB2312" w:hAnsi="仿宋_GB2312" w:eastAsia="仿宋_GB2312" w:cs="仿宋_GB2312"/>
          <w:spacing w:val="0"/>
          <w:position w:val="0"/>
          <w:sz w:val="32"/>
          <w:szCs w:val="32"/>
          <w:lang w:eastAsia="zh-CN"/>
        </w:rPr>
        <w:t>及</w:t>
      </w:r>
      <w:r>
        <w:rPr>
          <w:rFonts w:hint="eastAsia" w:ascii="仿宋_GB2312" w:hAnsi="仿宋_GB2312" w:eastAsia="仿宋_GB2312" w:cs="仿宋_GB2312"/>
          <w:spacing w:val="0"/>
          <w:position w:val="0"/>
          <w:sz w:val="32"/>
          <w:szCs w:val="32"/>
        </w:rPr>
        <w:t>燃气管网的市政工程在施工前未与燃气主管部门和管道燃气企业进行有效对接。</w:t>
      </w:r>
    </w:p>
    <w:p>
      <w:pPr>
        <w:keepNext w:val="0"/>
        <w:keepLines w:val="0"/>
        <w:pageBreakBefore w:val="0"/>
        <w:kinsoku/>
        <w:wordWrap/>
        <w:overflowPunct/>
        <w:topLinePunct w:val="0"/>
        <w:autoSpaceDE/>
        <w:autoSpaceDN/>
        <w:bidi w:val="0"/>
        <w:adjustRightInd/>
        <w:snapToGrid/>
        <w:spacing w:line="580" w:lineRule="exact"/>
        <w:ind w:right="14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20.房建和市政工程施工全过程液化石油气使用不符合相关安全规范，气瓶来源不合规。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pacing w:val="0"/>
          <w:position w:val="0"/>
          <w:sz w:val="32"/>
          <w:szCs w:val="32"/>
        </w:rPr>
      </w:pPr>
      <w:r>
        <w:rPr>
          <w:rFonts w:hint="eastAsia" w:ascii="楷体_GB2312" w:hAnsi="楷体_GB2312" w:eastAsia="楷体_GB2312" w:cs="楷体_GB2312"/>
          <w:b w:val="0"/>
          <w:bCs w:val="0"/>
          <w:spacing w:val="0"/>
          <w:position w:val="0"/>
          <w:sz w:val="32"/>
          <w:szCs w:val="32"/>
        </w:rPr>
        <w:t>(五)燃气具生产销售环节问题</w:t>
      </w:r>
    </w:p>
    <w:p>
      <w:pPr>
        <w:keepNext w:val="0"/>
        <w:keepLines w:val="0"/>
        <w:pageBreakBefore w:val="0"/>
        <w:kinsoku/>
        <w:wordWrap/>
        <w:overflowPunct/>
        <w:topLinePunct w:val="0"/>
        <w:autoSpaceDE/>
        <w:autoSpaceDN/>
        <w:bidi w:val="0"/>
        <w:adjustRightInd/>
        <w:snapToGrid/>
        <w:spacing w:line="580" w:lineRule="exact"/>
        <w:ind w:right="11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21.生产和销售不符合安全标准或不符合强制性产品认证要求的燃气具、燃气泄漏报警器、调压器及其连接软管。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spacing w:val="0"/>
          <w:position w:val="0"/>
          <w:sz w:val="32"/>
          <w:szCs w:val="32"/>
          <w:lang w:eastAsia="zh-CN"/>
        </w:rPr>
      </w:pPr>
      <w:r>
        <w:rPr>
          <w:rFonts w:hint="eastAsia" w:ascii="黑体" w:hAnsi="黑体" w:eastAsia="黑体" w:cs="黑体"/>
          <w:b w:val="0"/>
          <w:bCs w:val="0"/>
          <w:spacing w:val="0"/>
          <w:position w:val="0"/>
          <w:sz w:val="32"/>
          <w:szCs w:val="32"/>
        </w:rPr>
        <w:t>三、</w:t>
      </w:r>
      <w:r>
        <w:rPr>
          <w:rFonts w:hint="eastAsia" w:ascii="黑体" w:hAnsi="黑体" w:eastAsia="黑体" w:cs="黑体"/>
          <w:b w:val="0"/>
          <w:bCs w:val="0"/>
          <w:spacing w:val="0"/>
          <w:position w:val="0"/>
          <w:sz w:val="32"/>
          <w:szCs w:val="32"/>
          <w:lang w:eastAsia="zh-CN"/>
        </w:rPr>
        <w:t>整治工作安排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b w:val="0"/>
          <w:bCs w:val="0"/>
          <w:spacing w:val="0"/>
          <w:position w:val="0"/>
          <w:sz w:val="32"/>
          <w:szCs w:val="32"/>
          <w:lang w:eastAsia="zh-CN"/>
        </w:rPr>
      </w:pPr>
      <w:r>
        <w:rPr>
          <w:rFonts w:hint="eastAsia" w:ascii="楷体_GB2312" w:hAnsi="楷体_GB2312" w:eastAsia="楷体_GB2312" w:cs="楷体_GB2312"/>
          <w:b w:val="0"/>
          <w:bCs w:val="0"/>
          <w:spacing w:val="0"/>
          <w:position w:val="0"/>
          <w:sz w:val="32"/>
          <w:szCs w:val="32"/>
          <w:lang w:eastAsia="zh-CN"/>
        </w:rPr>
        <w:t>（一）检查方式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采取企业(单位)自查、属地排查、行业排查、</w:t>
      </w:r>
      <w:r>
        <w:rPr>
          <w:rFonts w:hint="eastAsia" w:ascii="仿宋_GB2312" w:hAnsi="仿宋_GB2312" w:eastAsia="仿宋_GB2312" w:cs="仿宋_GB2312"/>
          <w:spacing w:val="0"/>
          <w:position w:val="0"/>
          <w:sz w:val="32"/>
          <w:szCs w:val="32"/>
          <w:lang w:eastAsia="zh-CN"/>
        </w:rPr>
        <w:t>指导</w:t>
      </w:r>
      <w:r>
        <w:rPr>
          <w:rFonts w:hint="eastAsia" w:ascii="仿宋_GB2312" w:hAnsi="仿宋_GB2312" w:eastAsia="仿宋_GB2312" w:cs="仿宋_GB2312"/>
          <w:spacing w:val="0"/>
          <w:position w:val="0"/>
          <w:sz w:val="32"/>
          <w:szCs w:val="32"/>
        </w:rPr>
        <w:t>检查</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分片包干督查等方式开展排查检查。5种方式不分阶段、不分先后，同步推进，抓紧实施，确保尽快取得实效。</w:t>
      </w:r>
    </w:p>
    <w:p>
      <w:pPr>
        <w:keepNext w:val="0"/>
        <w:keepLines w:val="0"/>
        <w:pageBreakBefore w:val="0"/>
        <w:kinsoku/>
        <w:wordWrap/>
        <w:overflowPunct/>
        <w:topLinePunct w:val="0"/>
        <w:autoSpaceDE/>
        <w:autoSpaceDN/>
        <w:bidi w:val="0"/>
        <w:adjustRightInd/>
        <w:snapToGrid/>
        <w:spacing w:line="580" w:lineRule="exact"/>
        <w:ind w:right="159"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val="en-US" w:eastAsia="zh-CN"/>
        </w:rPr>
        <w:t>1.</w:t>
      </w:r>
      <w:r>
        <w:rPr>
          <w:rFonts w:hint="eastAsia" w:ascii="仿宋_GB2312" w:hAnsi="仿宋_GB2312" w:eastAsia="仿宋_GB2312" w:cs="仿宋_GB2312"/>
          <w:b/>
          <w:bCs/>
          <w:spacing w:val="0"/>
          <w:position w:val="0"/>
          <w:sz w:val="32"/>
          <w:szCs w:val="32"/>
        </w:rPr>
        <w:t>企业(单位)自查</w:t>
      </w:r>
      <w:r>
        <w:rPr>
          <w:rFonts w:hint="eastAsia" w:ascii="仿宋_GB2312" w:hAnsi="仿宋_GB2312" w:eastAsia="仿宋_GB2312" w:cs="仿宋_GB2312"/>
          <w:spacing w:val="0"/>
          <w:position w:val="0"/>
          <w:sz w:val="32"/>
          <w:szCs w:val="32"/>
        </w:rPr>
        <w:t>。百日行动期间，</w:t>
      </w:r>
      <w:r>
        <w:rPr>
          <w:rFonts w:hint="eastAsia" w:ascii="仿宋_GB2312" w:hAnsi="仿宋_GB2312" w:eastAsia="仿宋_GB2312" w:cs="仿宋_GB2312"/>
          <w:spacing w:val="0"/>
          <w:position w:val="0"/>
          <w:sz w:val="32"/>
          <w:szCs w:val="32"/>
          <w:lang w:val="en-US" w:eastAsia="zh-CN"/>
        </w:rPr>
        <w:t>相关单位</w:t>
      </w:r>
      <w:r>
        <w:rPr>
          <w:rFonts w:hint="eastAsia" w:ascii="仿宋_GB2312" w:hAnsi="仿宋_GB2312" w:eastAsia="仿宋_GB2312" w:cs="仿宋_GB2312"/>
          <w:spacing w:val="0"/>
          <w:position w:val="0"/>
          <w:sz w:val="32"/>
          <w:szCs w:val="32"/>
        </w:rPr>
        <w:t>要督促燃气经营、存储、运输、使用企业(单位)组织开展一次安全自查，及时摸清企业自身安全风险隐患</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组织一次员工安全教育培训提高员工安全意识</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依法安装燃气泄漏报警装置</w:t>
      </w:r>
      <w:r>
        <w:rPr>
          <w:rFonts w:hint="eastAsia" w:ascii="仿宋_GB2312" w:hAnsi="仿宋_GB2312" w:eastAsia="仿宋_GB2312" w:cs="仿宋_GB2312"/>
          <w:spacing w:val="0"/>
          <w:position w:val="0"/>
          <w:sz w:val="32"/>
          <w:szCs w:val="32"/>
          <w:lang w:eastAsia="zh-CN"/>
        </w:rPr>
        <w:t>、自动切断装置和金属连接软管，</w:t>
      </w:r>
      <w:r>
        <w:rPr>
          <w:rFonts w:hint="eastAsia" w:ascii="仿宋_GB2312" w:hAnsi="仿宋_GB2312" w:eastAsia="仿宋_GB2312" w:cs="仿宋_GB2312"/>
          <w:spacing w:val="0"/>
          <w:position w:val="0"/>
          <w:sz w:val="32"/>
          <w:szCs w:val="32"/>
        </w:rPr>
        <w:t>对依规操作、安全用气作出承诺。</w:t>
      </w:r>
    </w:p>
    <w:p>
      <w:pPr>
        <w:keepNext w:val="0"/>
        <w:keepLines w:val="0"/>
        <w:pageBreakBefore w:val="0"/>
        <w:kinsoku/>
        <w:wordWrap/>
        <w:overflowPunct/>
        <w:topLinePunct w:val="0"/>
        <w:autoSpaceDE/>
        <w:autoSpaceDN/>
        <w:bidi w:val="0"/>
        <w:adjustRightInd/>
        <w:snapToGrid/>
        <w:spacing w:line="580" w:lineRule="exact"/>
        <w:ind w:right="124"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val="en-US" w:eastAsia="zh-CN"/>
        </w:rPr>
        <w:t>2.</w:t>
      </w:r>
      <w:r>
        <w:rPr>
          <w:rFonts w:hint="eastAsia" w:ascii="仿宋_GB2312" w:hAnsi="仿宋_GB2312" w:eastAsia="仿宋_GB2312" w:cs="仿宋_GB2312"/>
          <w:b/>
          <w:bCs/>
          <w:spacing w:val="0"/>
          <w:position w:val="0"/>
          <w:sz w:val="32"/>
          <w:szCs w:val="32"/>
        </w:rPr>
        <w:t>属地排查。</w:t>
      </w:r>
      <w:r>
        <w:rPr>
          <w:rFonts w:hint="eastAsia" w:ascii="仿宋_GB2312" w:hAnsi="仿宋_GB2312" w:eastAsia="仿宋_GB2312" w:cs="仿宋_GB2312"/>
          <w:spacing w:val="0"/>
          <w:position w:val="0"/>
          <w:sz w:val="32"/>
          <w:szCs w:val="32"/>
        </w:rPr>
        <w:t>发挥“</w:t>
      </w:r>
      <w:r>
        <w:rPr>
          <w:rFonts w:hint="eastAsia" w:ascii="仿宋_GB2312" w:hAnsi="仿宋_GB2312" w:eastAsia="仿宋_GB2312" w:cs="仿宋_GB2312"/>
          <w:spacing w:val="0"/>
          <w:position w:val="0"/>
          <w:sz w:val="32"/>
          <w:szCs w:val="32"/>
          <w:lang w:val="en-US" w:eastAsia="zh-CN"/>
        </w:rPr>
        <w:t>市</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区、街道、社区”燃气安全排查四级联动机制，组织相关部门、燃气公司对照重点整治内容全面开展排查整治。要组织燃气企业对餐饮等使用燃气的公共场所进行一次全覆盖入户检查服务，对室内外管道设备设施、燃气具、连接软管、用气环境、气瓶等进行全面细致的测试和检查</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要组织力量对重点燃气经营、存储、运输、使用单位，开展一次全覆盖安全排查，对发现的问题和违法行为要依法依规处理。对排查出的安全隐患问题要全部建立清单台账，对账销号。</w:t>
      </w:r>
    </w:p>
    <w:p>
      <w:pPr>
        <w:keepNext w:val="0"/>
        <w:keepLines w:val="0"/>
        <w:pageBreakBefore w:val="0"/>
        <w:kinsoku/>
        <w:wordWrap/>
        <w:overflowPunct/>
        <w:topLinePunct w:val="0"/>
        <w:autoSpaceDE/>
        <w:autoSpaceDN/>
        <w:bidi w:val="0"/>
        <w:adjustRightInd/>
        <w:snapToGrid/>
        <w:spacing w:line="580" w:lineRule="exact"/>
        <w:ind w:right="132"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val="en-US" w:eastAsia="zh-CN"/>
        </w:rPr>
        <w:t>3.</w:t>
      </w:r>
      <w:r>
        <w:rPr>
          <w:rFonts w:hint="eastAsia" w:ascii="仿宋_GB2312" w:hAnsi="仿宋_GB2312" w:eastAsia="仿宋_GB2312" w:cs="仿宋_GB2312"/>
          <w:b/>
          <w:bCs/>
          <w:spacing w:val="0"/>
          <w:position w:val="0"/>
          <w:sz w:val="32"/>
          <w:szCs w:val="32"/>
        </w:rPr>
        <w:t>行业排查。</w:t>
      </w:r>
      <w:r>
        <w:rPr>
          <w:rFonts w:hint="eastAsia" w:ascii="仿宋_GB2312" w:hAnsi="仿宋_GB2312" w:eastAsia="仿宋_GB2312" w:cs="仿宋_GB2312"/>
          <w:spacing w:val="0"/>
          <w:position w:val="0"/>
          <w:sz w:val="32"/>
          <w:szCs w:val="32"/>
        </w:rPr>
        <w:t>百日行动不代替各部门职责，各有关部门要主动担当，充分调动自身力量，依照</w:t>
      </w:r>
      <w:r>
        <w:rPr>
          <w:rFonts w:hint="eastAsia" w:ascii="仿宋_GB2312" w:hAnsi="仿宋_GB2312" w:eastAsia="仿宋_GB2312" w:cs="仿宋_GB2312"/>
          <w:spacing w:val="0"/>
          <w:position w:val="0"/>
          <w:sz w:val="32"/>
          <w:szCs w:val="32"/>
          <w:lang w:eastAsia="zh-CN"/>
        </w:rPr>
        <w:t>各自</w:t>
      </w:r>
      <w:r>
        <w:rPr>
          <w:rFonts w:hint="eastAsia" w:ascii="仿宋_GB2312" w:hAnsi="仿宋_GB2312" w:eastAsia="仿宋_GB2312" w:cs="仿宋_GB2312"/>
          <w:spacing w:val="0"/>
          <w:position w:val="0"/>
          <w:sz w:val="32"/>
          <w:szCs w:val="32"/>
        </w:rPr>
        <w:t>职责分工研究制定百日行动实施方案，组织所属行业主管部门开展本行业(领域)燃气安全排查整治工作。每周向</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燃气安全排查整治工作专班报送一次工作进展情况。</w:t>
      </w:r>
    </w:p>
    <w:p>
      <w:pPr>
        <w:keepNext w:val="0"/>
        <w:keepLines w:val="0"/>
        <w:pageBreakBefore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val="en-US" w:eastAsia="zh-CN"/>
        </w:rPr>
        <w:t>4.指</w:t>
      </w:r>
      <w:r>
        <w:rPr>
          <w:rFonts w:hint="eastAsia" w:ascii="仿宋_GB2312" w:hAnsi="仿宋_GB2312" w:eastAsia="仿宋_GB2312" w:cs="仿宋_GB2312"/>
          <w:b/>
          <w:bCs/>
          <w:spacing w:val="0"/>
          <w:position w:val="0"/>
          <w:sz w:val="32"/>
          <w:szCs w:val="32"/>
          <w:lang w:eastAsia="zh-CN"/>
        </w:rPr>
        <w:t>导</w:t>
      </w:r>
      <w:r>
        <w:rPr>
          <w:rFonts w:hint="eastAsia" w:ascii="仿宋_GB2312" w:hAnsi="仿宋_GB2312" w:eastAsia="仿宋_GB2312" w:cs="仿宋_GB2312"/>
          <w:b/>
          <w:bCs/>
          <w:spacing w:val="0"/>
          <w:position w:val="0"/>
          <w:sz w:val="32"/>
          <w:szCs w:val="32"/>
        </w:rPr>
        <w:t>检查</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lang w:eastAsia="zh-CN"/>
        </w:rPr>
        <w:t>城镇</w:t>
      </w:r>
      <w:r>
        <w:rPr>
          <w:rFonts w:hint="eastAsia" w:ascii="仿宋_GB2312" w:hAnsi="仿宋_GB2312" w:eastAsia="仿宋_GB2312" w:cs="仿宋_GB2312"/>
          <w:spacing w:val="0"/>
          <w:position w:val="0"/>
          <w:sz w:val="32"/>
          <w:szCs w:val="32"/>
        </w:rPr>
        <w:t>燃气安全排查整治工作专班从全</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管道、液化石油气企业中抽取专业技术人员，组成</w:t>
      </w:r>
      <w:r>
        <w:rPr>
          <w:rFonts w:hint="eastAsia" w:ascii="仿宋_GB2312" w:hAnsi="仿宋_GB2312" w:eastAsia="仿宋_GB2312" w:cs="仿宋_GB2312"/>
          <w:spacing w:val="0"/>
          <w:position w:val="0"/>
          <w:sz w:val="32"/>
          <w:szCs w:val="32"/>
          <w:lang w:eastAsia="zh-CN"/>
        </w:rPr>
        <w:t>指导</w:t>
      </w:r>
      <w:r>
        <w:rPr>
          <w:rFonts w:hint="eastAsia" w:ascii="仿宋_GB2312" w:hAnsi="仿宋_GB2312" w:eastAsia="仿宋_GB2312" w:cs="仿宋_GB2312"/>
          <w:spacing w:val="0"/>
          <w:position w:val="0"/>
          <w:sz w:val="32"/>
          <w:szCs w:val="32"/>
        </w:rPr>
        <w:t>检查组，对</w:t>
      </w:r>
      <w:r>
        <w:rPr>
          <w:rFonts w:hint="eastAsia" w:ascii="仿宋_GB2312" w:hAnsi="仿宋_GB2312" w:eastAsia="仿宋_GB2312" w:cs="仿宋_GB2312"/>
          <w:spacing w:val="0"/>
          <w:position w:val="0"/>
          <w:sz w:val="32"/>
          <w:szCs w:val="32"/>
          <w:lang w:eastAsia="zh-CN"/>
        </w:rPr>
        <w:t>各</w:t>
      </w:r>
      <w:r>
        <w:rPr>
          <w:rFonts w:hint="eastAsia" w:ascii="仿宋_GB2312" w:hAnsi="仿宋_GB2312" w:eastAsia="仿宋_GB2312" w:cs="仿宋_GB2312"/>
          <w:spacing w:val="0"/>
          <w:position w:val="0"/>
          <w:sz w:val="32"/>
          <w:szCs w:val="32"/>
          <w:lang w:val="en-US" w:eastAsia="zh-CN"/>
        </w:rPr>
        <w:t>乡（办</w:t>
      </w:r>
      <w:r>
        <w:rPr>
          <w:rFonts w:hint="eastAsia" w:ascii="仿宋_GB2312" w:hAnsi="仿宋_GB2312" w:eastAsia="仿宋_GB2312" w:cs="仿宋_GB2312"/>
          <w:spacing w:val="0"/>
          <w:position w:val="0"/>
          <w:sz w:val="32"/>
          <w:szCs w:val="32"/>
          <w:lang w:eastAsia="zh-CN"/>
        </w:rPr>
        <w:t>）工作进展情况及</w:t>
      </w:r>
      <w:r>
        <w:rPr>
          <w:rFonts w:hint="eastAsia" w:ascii="仿宋_GB2312" w:hAnsi="仿宋_GB2312" w:eastAsia="仿宋_GB2312" w:cs="仿宋_GB2312"/>
          <w:spacing w:val="0"/>
          <w:position w:val="0"/>
          <w:sz w:val="32"/>
          <w:szCs w:val="32"/>
        </w:rPr>
        <w:t>各管道燃气、瓶装液化石油气经营、存储、运输企业进行</w:t>
      </w:r>
      <w:r>
        <w:rPr>
          <w:rFonts w:hint="eastAsia" w:ascii="仿宋_GB2312" w:hAnsi="仿宋_GB2312" w:eastAsia="仿宋_GB2312" w:cs="仿宋_GB2312"/>
          <w:spacing w:val="0"/>
          <w:position w:val="0"/>
          <w:sz w:val="32"/>
          <w:szCs w:val="32"/>
          <w:lang w:eastAsia="zh-CN"/>
        </w:rPr>
        <w:t>指导</w:t>
      </w:r>
      <w:r>
        <w:rPr>
          <w:rFonts w:hint="eastAsia" w:ascii="仿宋_GB2312" w:hAnsi="仿宋_GB2312" w:eastAsia="仿宋_GB2312" w:cs="仿宋_GB2312"/>
          <w:spacing w:val="0"/>
          <w:position w:val="0"/>
          <w:sz w:val="32"/>
          <w:szCs w:val="32"/>
        </w:rPr>
        <w:t>检查。百日行动期间实现全</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管道和液化石油气经营企业检查覆盖。</w:t>
      </w:r>
    </w:p>
    <w:p>
      <w:pPr>
        <w:keepNext w:val="0"/>
        <w:keepLines w:val="0"/>
        <w:pageBreakBefore w:val="0"/>
        <w:kinsoku/>
        <w:wordWrap/>
        <w:overflowPunct/>
        <w:topLinePunct w:val="0"/>
        <w:autoSpaceDE/>
        <w:autoSpaceDN/>
        <w:bidi w:val="0"/>
        <w:adjustRightInd/>
        <w:snapToGrid/>
        <w:spacing w:line="580" w:lineRule="exact"/>
        <w:ind w:right="66"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val="en-US" w:eastAsia="zh-CN"/>
        </w:rPr>
        <w:t>5.</w:t>
      </w:r>
      <w:r>
        <w:rPr>
          <w:rFonts w:hint="eastAsia" w:ascii="仿宋_GB2312" w:hAnsi="仿宋_GB2312" w:eastAsia="仿宋_GB2312" w:cs="仿宋_GB2312"/>
          <w:b/>
          <w:bCs/>
          <w:spacing w:val="0"/>
          <w:position w:val="0"/>
          <w:sz w:val="32"/>
          <w:szCs w:val="32"/>
        </w:rPr>
        <w:t>分片包干督查。</w:t>
      </w:r>
      <w:r>
        <w:rPr>
          <w:rFonts w:hint="eastAsia" w:ascii="仿宋_GB2312" w:hAnsi="仿宋_GB2312" w:eastAsia="仿宋_GB2312" w:cs="仿宋_GB2312"/>
          <w:spacing w:val="0"/>
          <w:position w:val="0"/>
          <w:sz w:val="32"/>
          <w:szCs w:val="32"/>
        </w:rPr>
        <w:t>实行分片包干责任制。将全</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1</w:t>
      </w:r>
      <w:r>
        <w:rPr>
          <w:rFonts w:hint="eastAsia" w:ascii="仿宋_GB2312" w:hAnsi="仿宋_GB2312" w:eastAsia="仿宋_GB2312" w:cs="仿宋_GB2312"/>
          <w:spacing w:val="0"/>
          <w:position w:val="0"/>
          <w:sz w:val="32"/>
          <w:szCs w:val="32"/>
          <w:lang w:val="en-US" w:eastAsia="zh-CN"/>
        </w:rPr>
        <w:t>0乡（办</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城镇燃气安全排查整治工作专班成员单位各负责一个</w:t>
      </w:r>
      <w:r>
        <w:rPr>
          <w:rFonts w:hint="eastAsia" w:ascii="仿宋_GB2312" w:hAnsi="仿宋_GB2312" w:eastAsia="仿宋_GB2312" w:cs="仿宋_GB2312"/>
          <w:spacing w:val="0"/>
          <w:position w:val="0"/>
          <w:sz w:val="32"/>
          <w:szCs w:val="32"/>
          <w:lang w:val="en-US" w:eastAsia="zh-CN"/>
        </w:rPr>
        <w:t>乡（办</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，分片包干督导检查。百日行动期间，每月至少对分包片区开展一次全面督导检查，分别于8月20日、9月20日、10月20日前将督导检查报告报送至</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城镇燃气安全排查整治工作专班(分片包干情况见附件</w:t>
      </w: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rPr>
        <w:t>)。</w:t>
      </w:r>
    </w:p>
    <w:p>
      <w:pPr>
        <w:keepNext w:val="0"/>
        <w:keepLines w:val="0"/>
        <w:pageBreakBefore w:val="0"/>
        <w:kinsoku/>
        <w:wordWrap/>
        <w:overflowPunct/>
        <w:topLinePunct w:val="0"/>
        <w:autoSpaceDE/>
        <w:autoSpaceDN/>
        <w:bidi w:val="0"/>
        <w:adjustRightInd/>
        <w:snapToGrid/>
        <w:spacing w:line="580" w:lineRule="exact"/>
        <w:ind w:right="116"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各部门要充分发挥燃气企业、行业协会、科研院所燃气行业专家支撑作用，将各方专家充实到百日行动各类检查中去，确保百日行动各项任务顺利推进。要</w:t>
      </w:r>
      <w:r>
        <w:rPr>
          <w:rFonts w:hint="eastAsia" w:ascii="仿宋_GB2312" w:hAnsi="仿宋_GB2312" w:eastAsia="仿宋_GB2312" w:cs="仿宋_GB2312"/>
          <w:spacing w:val="0"/>
          <w:position w:val="0"/>
          <w:sz w:val="32"/>
          <w:szCs w:val="32"/>
          <w:lang w:eastAsia="zh-CN"/>
        </w:rPr>
        <w:t>加快推进</w:t>
      </w:r>
      <w:r>
        <w:rPr>
          <w:rFonts w:hint="eastAsia" w:ascii="仿宋_GB2312" w:hAnsi="仿宋_GB2312" w:eastAsia="仿宋_GB2312" w:cs="仿宋_GB2312"/>
          <w:spacing w:val="0"/>
          <w:position w:val="0"/>
          <w:sz w:val="32"/>
          <w:szCs w:val="32"/>
        </w:rPr>
        <w:t>燃气管道监测预警系统、瓶装液化气智慧化管理平台</w:t>
      </w:r>
      <w:r>
        <w:rPr>
          <w:rFonts w:hint="eastAsia" w:ascii="仿宋_GB2312" w:hAnsi="仿宋_GB2312" w:eastAsia="仿宋_GB2312" w:cs="仿宋_GB2312"/>
          <w:spacing w:val="0"/>
          <w:position w:val="0"/>
          <w:sz w:val="32"/>
          <w:szCs w:val="32"/>
          <w:lang w:eastAsia="zh-CN"/>
        </w:rPr>
        <w:t>建设</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利用科技化、信息化手段实现</w:t>
      </w:r>
      <w:r>
        <w:rPr>
          <w:rFonts w:hint="eastAsia" w:ascii="仿宋_GB2312" w:hAnsi="仿宋_GB2312" w:eastAsia="仿宋_GB2312" w:cs="仿宋_GB2312"/>
          <w:spacing w:val="0"/>
          <w:position w:val="0"/>
          <w:sz w:val="32"/>
          <w:szCs w:val="32"/>
        </w:rPr>
        <w:t>监测数据实时动态分析，及时发现隐患、整改隐患。</w:t>
      </w:r>
    </w:p>
    <w:p>
      <w:pPr>
        <w:keepNext w:val="0"/>
        <w:keepLines w:val="0"/>
        <w:pageBreakBefore w:val="0"/>
        <w:numPr>
          <w:ilvl w:val="0"/>
          <w:numId w:val="0"/>
        </w:numPr>
        <w:kinsoku/>
        <w:wordWrap/>
        <w:overflowPunct/>
        <w:topLinePunct w:val="0"/>
        <w:autoSpaceDE/>
        <w:autoSpaceDN/>
        <w:bidi w:val="0"/>
        <w:adjustRightInd/>
        <w:snapToGrid/>
        <w:spacing w:line="580" w:lineRule="exact"/>
        <w:ind w:right="116" w:rightChars="0" w:firstLine="640" w:firstLineChars="200"/>
        <w:textAlignment w:val="auto"/>
        <w:rPr>
          <w:rFonts w:hint="eastAsia" w:ascii="楷体_GB2312" w:hAnsi="楷体_GB2312" w:eastAsia="楷体_GB2312" w:cs="楷体_GB2312"/>
          <w:b w:val="0"/>
          <w:bCs w:val="0"/>
          <w:spacing w:val="0"/>
          <w:position w:val="0"/>
          <w:sz w:val="32"/>
          <w:szCs w:val="32"/>
          <w:lang w:eastAsia="zh-CN"/>
        </w:rPr>
      </w:pPr>
      <w:r>
        <w:rPr>
          <w:rFonts w:hint="eastAsia" w:ascii="楷体_GB2312" w:hAnsi="楷体_GB2312" w:eastAsia="楷体_GB2312" w:cs="楷体_GB2312"/>
          <w:b w:val="0"/>
          <w:bCs w:val="0"/>
          <w:spacing w:val="0"/>
          <w:position w:val="0"/>
          <w:sz w:val="32"/>
          <w:szCs w:val="32"/>
          <w:lang w:eastAsia="zh-CN"/>
        </w:rPr>
        <w:t>（二）职责分工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1.</w:t>
      </w:r>
      <w:r>
        <w:rPr>
          <w:rFonts w:hint="eastAsia" w:ascii="仿宋_GB2312" w:hAnsi="仿宋_GB2312" w:eastAsia="仿宋_GB2312" w:cs="仿宋_GB2312"/>
          <w:b/>
          <w:bCs/>
          <w:i w:val="0"/>
          <w:caps w:val="0"/>
          <w:color w:val="000000"/>
          <w:spacing w:val="0"/>
          <w:sz w:val="32"/>
          <w:szCs w:val="32"/>
          <w:shd w:val="clear" w:color="auto" w:fill="FFFFFF"/>
          <w:lang w:eastAsia="zh-CN"/>
        </w:rPr>
        <w:t>燃气主管部门：</w:t>
      </w:r>
      <w:r>
        <w:rPr>
          <w:rFonts w:hint="eastAsia" w:ascii="仿宋_GB2312" w:hAnsi="仿宋_GB2312" w:eastAsia="仿宋_GB2312" w:cs="仿宋_GB2312"/>
          <w:i w:val="0"/>
          <w:caps w:val="0"/>
          <w:color w:val="000000"/>
          <w:spacing w:val="0"/>
          <w:sz w:val="32"/>
          <w:szCs w:val="32"/>
          <w:shd w:val="clear" w:color="auto" w:fill="FFFFFF"/>
        </w:rPr>
        <w:t>依据国务院《城镇燃气管理条例》</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河南</w:t>
      </w:r>
      <w:r>
        <w:rPr>
          <w:rFonts w:hint="eastAsia" w:ascii="仿宋_GB2312" w:hAnsi="仿宋_GB2312" w:eastAsia="仿宋_GB2312" w:cs="仿宋_GB2312"/>
          <w:i w:val="0"/>
          <w:caps w:val="0"/>
          <w:color w:val="000000"/>
          <w:spacing w:val="0"/>
          <w:sz w:val="32"/>
          <w:szCs w:val="32"/>
          <w:shd w:val="clear" w:color="auto" w:fill="FFFFFF"/>
        </w:rPr>
        <w:t>省城镇燃气管理</w:t>
      </w:r>
      <w:r>
        <w:rPr>
          <w:rFonts w:hint="eastAsia" w:ascii="仿宋_GB2312" w:hAnsi="仿宋_GB2312" w:eastAsia="仿宋_GB2312" w:cs="仿宋_GB2312"/>
          <w:i w:val="0"/>
          <w:caps w:val="0"/>
          <w:color w:val="000000"/>
          <w:spacing w:val="0"/>
          <w:sz w:val="32"/>
          <w:szCs w:val="32"/>
          <w:shd w:val="clear" w:color="auto" w:fill="FFFFFF"/>
          <w:lang w:eastAsia="zh-CN"/>
        </w:rPr>
        <w:t>办法</w:t>
      </w:r>
      <w:r>
        <w:rPr>
          <w:rFonts w:hint="eastAsia" w:ascii="仿宋_GB2312" w:hAnsi="仿宋_GB2312" w:eastAsia="仿宋_GB2312" w:cs="仿宋_GB2312"/>
          <w:i w:val="0"/>
          <w:caps w:val="0"/>
          <w:color w:val="000000"/>
          <w:spacing w:val="0"/>
          <w:sz w:val="32"/>
          <w:szCs w:val="32"/>
          <w:shd w:val="clear" w:color="auto" w:fill="FFFFFF"/>
        </w:rPr>
        <w:t>》等法规、规章，负责具体实施本地区燃气行业的管理工作，并按规定实施行政许可和行政处罚。负责督促燃气经营企业按照法律法规、标准规范和合同的约定，承担用户燃气设施巡检、燃气使用安全技术指导和宣传责任；负责督促燃气经营企业安全生产、瓶装液化石油气实名制销售、建立客户服务平台等工作。负责查处燃气违法经营行为，依法取缔非法经营站（点）；对违反法律、法规和国家标准、行业标准的燃气经营企业进行查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2.市场监管部门：</w:t>
      </w:r>
      <w:r>
        <w:rPr>
          <w:rFonts w:hint="eastAsia" w:ascii="仿宋_GB2312" w:hAnsi="仿宋_GB2312" w:eastAsia="仿宋_GB2312" w:cs="仿宋_GB2312"/>
          <w:i w:val="0"/>
          <w:caps w:val="0"/>
          <w:color w:val="000000"/>
          <w:spacing w:val="0"/>
          <w:sz w:val="32"/>
          <w:szCs w:val="32"/>
          <w:shd w:val="clear" w:color="auto" w:fill="FFFFFF"/>
        </w:rPr>
        <w:t>依据</w:t>
      </w:r>
      <w:r>
        <w:rPr>
          <w:rFonts w:hint="eastAsia" w:ascii="仿宋_GB2312" w:hAnsi="仿宋_GB2312" w:eastAsia="仿宋_GB2312" w:cs="仿宋_GB2312"/>
          <w:i w:val="0"/>
          <w:caps w:val="0"/>
          <w:color w:val="auto"/>
          <w:spacing w:val="0"/>
          <w:sz w:val="32"/>
          <w:szCs w:val="32"/>
          <w:shd w:val="clear" w:color="auto" w:fill="FFFFFF"/>
        </w:rPr>
        <w:t>《特种设备安全法》《特种设备安全监察条例》《气瓶安全技术监察规程》</w:t>
      </w:r>
      <w:r>
        <w:rPr>
          <w:rFonts w:hint="eastAsia" w:ascii="仿宋_GB2312" w:hAnsi="仿宋_GB2312" w:eastAsia="仿宋_GB2312" w:cs="仿宋_GB2312"/>
          <w:i w:val="0"/>
          <w:caps w:val="0"/>
          <w:color w:val="000000"/>
          <w:spacing w:val="0"/>
          <w:sz w:val="32"/>
          <w:szCs w:val="32"/>
          <w:shd w:val="clear" w:color="auto" w:fill="FFFFFF"/>
        </w:rPr>
        <w:t>等法律、</w:t>
      </w:r>
      <w:r>
        <w:rPr>
          <w:rFonts w:hint="eastAsia" w:ascii="仿宋_GB2312" w:hAnsi="仿宋_GB2312" w:eastAsia="仿宋_GB2312" w:cs="仿宋_GB2312"/>
          <w:i w:val="0"/>
          <w:caps w:val="0"/>
          <w:color w:val="000000"/>
          <w:spacing w:val="0"/>
          <w:sz w:val="32"/>
          <w:szCs w:val="32"/>
          <w:shd w:val="clear" w:color="auto" w:fill="FFFFFF"/>
          <w:lang w:eastAsia="zh-CN"/>
        </w:rPr>
        <w:t>法规、</w:t>
      </w:r>
      <w:r>
        <w:rPr>
          <w:rFonts w:hint="eastAsia" w:ascii="仿宋_GB2312" w:hAnsi="仿宋_GB2312" w:eastAsia="仿宋_GB2312" w:cs="仿宋_GB2312"/>
          <w:i w:val="0"/>
          <w:caps w:val="0"/>
          <w:color w:val="000000"/>
          <w:spacing w:val="0"/>
          <w:sz w:val="32"/>
          <w:szCs w:val="32"/>
          <w:shd w:val="clear" w:color="auto" w:fill="FFFFFF"/>
        </w:rPr>
        <w:t>安全技术规范，对液化气气瓶充装、检验单位、特种设备作业人员实施行政许可和监督检查；对液化气储罐、罐车等压力容器及其它特种设备实施使用登记和安全监管。对充装非自有产权气瓶、超期未检（报废）气瓶等行为进行查处，加快建立气瓶</w:t>
      </w:r>
      <w:r>
        <w:rPr>
          <w:rFonts w:hint="eastAsia" w:ascii="仿宋_GB2312" w:hAnsi="仿宋_GB2312" w:eastAsia="仿宋_GB2312" w:cs="仿宋_GB2312"/>
          <w:i w:val="0"/>
          <w:caps w:val="0"/>
          <w:color w:val="000000"/>
          <w:spacing w:val="0"/>
          <w:sz w:val="32"/>
          <w:szCs w:val="32"/>
          <w:shd w:val="clear" w:color="auto" w:fill="FFFFFF"/>
          <w:lang w:eastAsia="zh-CN"/>
        </w:rPr>
        <w:t>充装</w:t>
      </w:r>
      <w:r>
        <w:rPr>
          <w:rFonts w:hint="eastAsia" w:ascii="仿宋_GB2312" w:hAnsi="仿宋_GB2312" w:eastAsia="仿宋_GB2312" w:cs="仿宋_GB2312"/>
          <w:i w:val="0"/>
          <w:caps w:val="0"/>
          <w:color w:val="000000"/>
          <w:spacing w:val="0"/>
          <w:sz w:val="32"/>
          <w:szCs w:val="32"/>
          <w:shd w:val="clear" w:color="auto" w:fill="FFFFFF"/>
        </w:rPr>
        <w:t>追溯系统，确保溯源管理。依据《无证无照经营查处办法》，对未办理营业执照的餐饮场所进行查处。依据《产品质量法》，对液化石油气、燃气器具及配件产品生产、流通领域开展产品质量监督抽查，对生产、销售不符合安全标准的燃气器具及液化石油气、充气过程中缺斤少两、掺混二甲醚等违法行为进行查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3.</w:t>
      </w:r>
      <w:r>
        <w:rPr>
          <w:rFonts w:hint="eastAsia" w:ascii="仿宋_GB2312" w:hAnsi="仿宋_GB2312" w:eastAsia="仿宋_GB2312" w:cs="仿宋_GB2312"/>
          <w:b/>
          <w:bCs/>
          <w:i w:val="0"/>
          <w:caps w:val="0"/>
          <w:color w:val="000000"/>
          <w:spacing w:val="0"/>
          <w:sz w:val="32"/>
          <w:szCs w:val="32"/>
          <w:shd w:val="clear" w:color="auto" w:fill="FFFFFF"/>
          <w:lang w:eastAsia="zh-CN"/>
        </w:rPr>
        <w:t>市场监督部门、</w:t>
      </w:r>
      <w:r>
        <w:rPr>
          <w:rFonts w:hint="eastAsia" w:ascii="仿宋_GB2312" w:hAnsi="仿宋_GB2312" w:eastAsia="仿宋_GB2312" w:cs="仿宋_GB2312"/>
          <w:b/>
          <w:bCs/>
          <w:i w:val="0"/>
          <w:caps w:val="0"/>
          <w:color w:val="000000"/>
          <w:spacing w:val="0"/>
          <w:sz w:val="32"/>
          <w:szCs w:val="32"/>
          <w:shd w:val="clear" w:color="auto" w:fill="FFFFFF"/>
        </w:rPr>
        <w:t>商务部门：</w:t>
      </w:r>
      <w:r>
        <w:rPr>
          <w:rFonts w:hint="eastAsia" w:ascii="仿宋_GB2312" w:hAnsi="仿宋_GB2312" w:eastAsia="仿宋_GB2312" w:cs="仿宋_GB2312"/>
          <w:i w:val="0"/>
          <w:caps w:val="0"/>
          <w:color w:val="000000"/>
          <w:spacing w:val="0"/>
          <w:sz w:val="32"/>
          <w:szCs w:val="32"/>
          <w:shd w:val="clear" w:color="auto" w:fill="FFFFFF"/>
        </w:rPr>
        <w:t>负责组织餐饮场所开展燃气使用安全自查工作，对自查情况及隐患整改情况进行督促检查；督促餐饮场所经营者与合法的供气企业签订供用气合同，按照有关规定安装可燃气体浓度报警装置</w:t>
      </w:r>
      <w:r>
        <w:rPr>
          <w:rFonts w:hint="eastAsia" w:ascii="仿宋_GB2312" w:hAnsi="仿宋_GB2312" w:eastAsia="仿宋_GB2312" w:cs="仿宋_GB2312"/>
          <w:i w:val="0"/>
          <w:caps w:val="0"/>
          <w:color w:val="000000"/>
          <w:spacing w:val="0"/>
          <w:sz w:val="32"/>
          <w:szCs w:val="32"/>
          <w:shd w:val="clear" w:color="auto" w:fill="FFFFFF"/>
          <w:lang w:eastAsia="zh-CN"/>
        </w:rPr>
        <w:t>、自动切断装置和金属连接软管</w:t>
      </w:r>
      <w:r>
        <w:rPr>
          <w:rFonts w:hint="eastAsia" w:ascii="仿宋_GB2312" w:hAnsi="仿宋_GB2312" w:eastAsia="仿宋_GB2312" w:cs="仿宋_GB2312"/>
          <w:i w:val="0"/>
          <w:caps w:val="0"/>
          <w:color w:val="000000"/>
          <w:spacing w:val="0"/>
          <w:sz w:val="32"/>
          <w:szCs w:val="32"/>
          <w:shd w:val="clear" w:color="auto" w:fill="FFFFFF"/>
        </w:rPr>
        <w:t>，配备干粉灭火器等消防器材。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4.公安部门：</w:t>
      </w:r>
      <w:r>
        <w:rPr>
          <w:rFonts w:hint="eastAsia" w:ascii="仿宋_GB2312" w:hAnsi="仿宋_GB2312" w:eastAsia="仿宋_GB2312" w:cs="仿宋_GB2312"/>
          <w:i w:val="0"/>
          <w:caps w:val="0"/>
          <w:color w:val="000000"/>
          <w:spacing w:val="0"/>
          <w:sz w:val="32"/>
          <w:szCs w:val="32"/>
          <w:shd w:val="clear" w:color="auto" w:fill="FFFFFF"/>
        </w:rPr>
        <w:t>依法</w:t>
      </w:r>
      <w:r>
        <w:rPr>
          <w:rFonts w:hint="eastAsia" w:ascii="仿宋_GB2312" w:hAnsi="仿宋_GB2312" w:eastAsia="仿宋_GB2312" w:cs="仿宋_GB2312"/>
          <w:i w:val="0"/>
          <w:caps w:val="0"/>
          <w:color w:val="000000"/>
          <w:spacing w:val="0"/>
          <w:sz w:val="32"/>
          <w:szCs w:val="32"/>
          <w:shd w:val="clear" w:color="auto" w:fill="FFFFFF"/>
          <w:lang w:eastAsia="zh-CN"/>
        </w:rPr>
        <w:t>做好相关配合工作，对构成违法犯罪的依法予以打击处理</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000000"/>
          <w:spacing w:val="0"/>
          <w:sz w:val="32"/>
          <w:szCs w:val="32"/>
          <w:shd w:val="clear" w:color="auto" w:fill="FFFFFF"/>
        </w:rPr>
        <w:t>5.应急管理部门：</w:t>
      </w:r>
      <w:r>
        <w:rPr>
          <w:rFonts w:hint="eastAsia" w:ascii="仿宋_GB2312" w:hAnsi="仿宋_GB2312" w:eastAsia="仿宋_GB2312" w:cs="仿宋_GB2312"/>
          <w:i w:val="0"/>
          <w:caps w:val="0"/>
          <w:color w:val="000000"/>
          <w:spacing w:val="0"/>
          <w:sz w:val="32"/>
          <w:szCs w:val="32"/>
          <w:shd w:val="clear" w:color="auto" w:fill="FFFFFF"/>
          <w:lang w:eastAsia="zh-CN"/>
        </w:rPr>
        <w:t>积极发挥安委办职能作用，加强统筹协调和督促推动。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6.消防</w:t>
      </w:r>
      <w:r>
        <w:rPr>
          <w:rFonts w:hint="eastAsia" w:ascii="仿宋_GB2312" w:hAnsi="仿宋_GB2312" w:eastAsia="仿宋_GB2312" w:cs="仿宋_GB2312"/>
          <w:b/>
          <w:bCs/>
          <w:i w:val="0"/>
          <w:caps w:val="0"/>
          <w:color w:val="000000"/>
          <w:spacing w:val="0"/>
          <w:sz w:val="32"/>
          <w:szCs w:val="32"/>
          <w:shd w:val="clear" w:color="auto" w:fill="FFFFFF"/>
          <w:lang w:eastAsia="zh-CN"/>
        </w:rPr>
        <w:t>救援机构</w:t>
      </w:r>
      <w:r>
        <w:rPr>
          <w:rFonts w:hint="eastAsia" w:ascii="仿宋_GB2312" w:hAnsi="仿宋_GB2312" w:eastAsia="仿宋_GB2312" w:cs="仿宋_GB2312"/>
          <w:b/>
          <w:bCs/>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t>依据《消防法》《</w:t>
      </w:r>
      <w:r>
        <w:rPr>
          <w:rFonts w:hint="eastAsia" w:ascii="仿宋_GB2312" w:hAnsi="仿宋_GB2312" w:eastAsia="仿宋_GB2312" w:cs="仿宋_GB2312"/>
          <w:i w:val="0"/>
          <w:caps w:val="0"/>
          <w:color w:val="000000"/>
          <w:spacing w:val="0"/>
          <w:sz w:val="32"/>
          <w:szCs w:val="32"/>
          <w:shd w:val="clear" w:color="auto" w:fill="FFFFFF"/>
          <w:lang w:eastAsia="zh-CN"/>
        </w:rPr>
        <w:t>河南</w:t>
      </w:r>
      <w:r>
        <w:rPr>
          <w:rFonts w:hint="eastAsia" w:ascii="仿宋_GB2312" w:hAnsi="仿宋_GB2312" w:eastAsia="仿宋_GB2312" w:cs="仿宋_GB2312"/>
          <w:i w:val="0"/>
          <w:caps w:val="0"/>
          <w:color w:val="000000"/>
          <w:spacing w:val="0"/>
          <w:sz w:val="32"/>
          <w:szCs w:val="32"/>
          <w:shd w:val="clear" w:color="auto" w:fill="FFFFFF"/>
        </w:rPr>
        <w:t>省消防条例》等法律、法规，对燃气企业、餐饮单位遵守消防法律、法规的情况进行监督检查。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7.交通运输管理部门：</w:t>
      </w:r>
      <w:r>
        <w:rPr>
          <w:rFonts w:hint="eastAsia" w:ascii="仿宋_GB2312" w:hAnsi="仿宋_GB2312" w:eastAsia="仿宋_GB2312" w:cs="仿宋_GB2312"/>
          <w:i w:val="0"/>
          <w:caps w:val="0"/>
          <w:color w:val="000000"/>
          <w:spacing w:val="0"/>
          <w:sz w:val="32"/>
          <w:szCs w:val="32"/>
          <w:shd w:val="clear" w:color="auto" w:fill="FFFFFF"/>
        </w:rPr>
        <w:t>依据《危险化学品安全管理条例》《道路危险货物运输管理规定》《道路运输车辆动态监督管理办法》等法规的相关规定，负责道路、水路危险货物运输企业、车辆、船只、从业人员、港区装卸管理人员的资质管理，对危化品运输车辆非法运输瓶装液化石油气等违规行为依法进行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8.教育、</w:t>
      </w:r>
      <w:r>
        <w:rPr>
          <w:rFonts w:hint="eastAsia" w:ascii="仿宋_GB2312" w:hAnsi="仿宋_GB2312" w:eastAsia="仿宋_GB2312" w:cs="仿宋_GB2312"/>
          <w:b/>
          <w:bCs/>
          <w:i w:val="0"/>
          <w:caps w:val="0"/>
          <w:color w:val="000000"/>
          <w:spacing w:val="0"/>
          <w:sz w:val="32"/>
          <w:szCs w:val="32"/>
          <w:shd w:val="clear" w:color="auto" w:fill="FFFFFF"/>
          <w:lang w:eastAsia="zh-CN"/>
        </w:rPr>
        <w:t>工信、</w:t>
      </w:r>
      <w:r>
        <w:rPr>
          <w:rFonts w:hint="eastAsia" w:ascii="仿宋_GB2312" w:hAnsi="仿宋_GB2312" w:eastAsia="仿宋_GB2312" w:cs="仿宋_GB2312"/>
          <w:b/>
          <w:bCs/>
          <w:i w:val="0"/>
          <w:caps w:val="0"/>
          <w:color w:val="000000"/>
          <w:spacing w:val="0"/>
          <w:sz w:val="32"/>
          <w:szCs w:val="32"/>
          <w:shd w:val="clear" w:color="auto" w:fill="FFFFFF"/>
        </w:rPr>
        <w:t>民政、</w:t>
      </w:r>
      <w:r>
        <w:rPr>
          <w:rFonts w:hint="eastAsia" w:ascii="仿宋_GB2312" w:hAnsi="仿宋_GB2312" w:eastAsia="仿宋_GB2312" w:cs="仿宋_GB2312"/>
          <w:b/>
          <w:bCs/>
          <w:i w:val="0"/>
          <w:caps w:val="0"/>
          <w:color w:val="000000"/>
          <w:spacing w:val="0"/>
          <w:sz w:val="32"/>
          <w:szCs w:val="32"/>
          <w:shd w:val="clear" w:color="auto" w:fill="FFFFFF"/>
          <w:lang w:eastAsia="zh-CN"/>
        </w:rPr>
        <w:t>农业农村、文</w:t>
      </w:r>
      <w:r>
        <w:rPr>
          <w:rFonts w:hint="eastAsia" w:ascii="仿宋_GB2312" w:hAnsi="仿宋_GB2312" w:eastAsia="仿宋_GB2312" w:cs="仿宋_GB2312"/>
          <w:b/>
          <w:bCs/>
          <w:i w:val="0"/>
          <w:caps w:val="0"/>
          <w:color w:val="000000"/>
          <w:spacing w:val="0"/>
          <w:sz w:val="32"/>
          <w:szCs w:val="32"/>
          <w:shd w:val="clear" w:color="auto" w:fill="FFFFFF"/>
        </w:rPr>
        <w:t>旅、卫生健康</w:t>
      </w:r>
      <w:r>
        <w:rPr>
          <w:rFonts w:hint="eastAsia" w:ascii="仿宋_GB2312" w:hAnsi="仿宋_GB2312" w:eastAsia="仿宋_GB2312" w:cs="仿宋_GB2312"/>
          <w:b/>
          <w:bCs/>
          <w:i w:val="0"/>
          <w:caps w:val="0"/>
          <w:color w:val="000000"/>
          <w:spacing w:val="0"/>
          <w:sz w:val="32"/>
          <w:szCs w:val="32"/>
          <w:shd w:val="clear" w:color="auto" w:fill="FFFFFF"/>
          <w:lang w:eastAsia="zh-CN"/>
        </w:rPr>
        <w:t>等</w:t>
      </w:r>
      <w:r>
        <w:rPr>
          <w:rFonts w:hint="eastAsia" w:ascii="仿宋_GB2312" w:hAnsi="仿宋_GB2312" w:eastAsia="仿宋_GB2312" w:cs="仿宋_GB2312"/>
          <w:b/>
          <w:bCs/>
          <w:i w:val="0"/>
          <w:caps w:val="0"/>
          <w:color w:val="000000"/>
          <w:spacing w:val="0"/>
          <w:sz w:val="32"/>
          <w:szCs w:val="32"/>
          <w:shd w:val="clear" w:color="auto" w:fill="FFFFFF"/>
        </w:rPr>
        <w:t>部门：</w:t>
      </w:r>
      <w:r>
        <w:rPr>
          <w:rFonts w:hint="eastAsia" w:ascii="仿宋_GB2312" w:hAnsi="仿宋_GB2312" w:eastAsia="仿宋_GB2312" w:cs="仿宋_GB2312"/>
          <w:i w:val="0"/>
          <w:caps w:val="0"/>
          <w:color w:val="000000"/>
          <w:spacing w:val="0"/>
          <w:sz w:val="32"/>
          <w:szCs w:val="32"/>
          <w:shd w:val="clear" w:color="auto" w:fill="FFFFFF"/>
        </w:rPr>
        <w:t>负责组织本行业领域管理的燃气用户开展燃气使用安全自查工作，对自查情况及隐患整改情况进行督促检查；督促其与合法的供气企业签订供用气合同，按照有关规定安装可燃气体浓度报警装置</w:t>
      </w:r>
      <w:r>
        <w:rPr>
          <w:rFonts w:hint="eastAsia" w:ascii="仿宋_GB2312" w:hAnsi="仿宋_GB2312" w:eastAsia="仿宋_GB2312" w:cs="仿宋_GB2312"/>
          <w:i w:val="0"/>
          <w:caps w:val="0"/>
          <w:color w:val="000000"/>
          <w:spacing w:val="0"/>
          <w:sz w:val="32"/>
          <w:szCs w:val="32"/>
          <w:shd w:val="clear" w:color="auto" w:fill="FFFFFF"/>
          <w:lang w:eastAsia="zh-CN"/>
        </w:rPr>
        <w:t>、自动切断装置和金属连接软管</w:t>
      </w:r>
      <w:r>
        <w:rPr>
          <w:rFonts w:hint="eastAsia" w:ascii="仿宋_GB2312" w:hAnsi="仿宋_GB2312" w:eastAsia="仿宋_GB2312" w:cs="仿宋_GB2312"/>
          <w:i w:val="0"/>
          <w:caps w:val="0"/>
          <w:color w:val="000000"/>
          <w:spacing w:val="0"/>
          <w:sz w:val="32"/>
          <w:szCs w:val="32"/>
          <w:shd w:val="clear" w:color="auto" w:fill="FFFFFF"/>
        </w:rPr>
        <w:t>，配备干粉灭火器等消防器材。鼓励引导瓶装液化石油气用户逐步改用管道天然气或气改电。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b/>
          <w:bCs/>
          <w:i w:val="0"/>
          <w:caps w:val="0"/>
          <w:color w:val="000000"/>
          <w:spacing w:val="0"/>
          <w:sz w:val="32"/>
          <w:szCs w:val="32"/>
          <w:shd w:val="clear" w:color="auto" w:fill="FFFFFF"/>
        </w:rPr>
        <w:t>9.其他有关部门：</w:t>
      </w:r>
      <w:r>
        <w:rPr>
          <w:rFonts w:hint="eastAsia" w:ascii="仿宋_GB2312" w:hAnsi="仿宋_GB2312" w:eastAsia="仿宋_GB2312" w:cs="仿宋_GB2312"/>
          <w:i w:val="0"/>
          <w:caps w:val="0"/>
          <w:color w:val="000000"/>
          <w:spacing w:val="0"/>
          <w:sz w:val="32"/>
          <w:szCs w:val="32"/>
          <w:shd w:val="clear" w:color="auto" w:fill="FFFFFF"/>
        </w:rPr>
        <w:t>依照有关法律、法规的规定，在各自职责范围内负责有关燃气安全管理工作。</w:t>
      </w:r>
    </w:p>
    <w:p>
      <w:pPr>
        <w:keepNext w:val="0"/>
        <w:keepLines w:val="0"/>
        <w:pageBreakBefore w:val="0"/>
        <w:kinsoku/>
        <w:wordWrap/>
        <w:overflowPunct/>
        <w:topLinePunct w:val="0"/>
        <w:autoSpaceDE/>
        <w:autoSpaceDN/>
        <w:bidi w:val="0"/>
        <w:adjustRightInd/>
        <w:snapToGrid/>
        <w:spacing w:line="580" w:lineRule="exact"/>
        <w:ind w:left="634"/>
        <w:textAlignment w:val="auto"/>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四、全面整改整治</w:t>
      </w:r>
    </w:p>
    <w:p>
      <w:pPr>
        <w:keepNext w:val="0"/>
        <w:keepLines w:val="0"/>
        <w:pageBreakBefore w:val="0"/>
        <w:kinsoku/>
        <w:wordWrap/>
        <w:overflowPunct/>
        <w:topLinePunct w:val="0"/>
        <w:autoSpaceDE/>
        <w:autoSpaceDN/>
        <w:bidi w:val="0"/>
        <w:adjustRightInd/>
        <w:snapToGrid/>
        <w:spacing w:line="580" w:lineRule="exact"/>
        <w:ind w:right="49"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（一）</w:t>
      </w:r>
      <w:r>
        <w:rPr>
          <w:rFonts w:hint="eastAsia" w:ascii="楷体_GB2312" w:hAnsi="楷体_GB2312" w:eastAsia="楷体_GB2312" w:cs="楷体_GB2312"/>
          <w:b w:val="0"/>
          <w:bCs w:val="0"/>
          <w:spacing w:val="0"/>
          <w:position w:val="0"/>
          <w:sz w:val="32"/>
          <w:szCs w:val="32"/>
        </w:rPr>
        <w:t>实施分类整治。</w:t>
      </w:r>
      <w:r>
        <w:rPr>
          <w:rFonts w:hint="eastAsia" w:ascii="仿宋_GB2312" w:hAnsi="仿宋_GB2312" w:eastAsia="仿宋_GB2312" w:cs="仿宋_GB2312"/>
          <w:spacing w:val="0"/>
          <w:position w:val="0"/>
          <w:sz w:val="32"/>
          <w:szCs w:val="32"/>
        </w:rPr>
        <w:t>按照先急后缓，先大后小原则，对所有燃气安全隐患进行分类施治。</w:t>
      </w: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color w:val="000000"/>
          <w:sz w:val="32"/>
          <w:szCs w:val="32"/>
          <w:lang w:val="en-US" w:eastAsia="zh-CN"/>
        </w:rPr>
        <w:t>及相关单位</w:t>
      </w:r>
      <w:r>
        <w:rPr>
          <w:rFonts w:hint="eastAsia" w:ascii="仿宋_GB2312" w:hAnsi="仿宋_GB2312" w:eastAsia="仿宋_GB2312" w:cs="仿宋_GB2312"/>
          <w:spacing w:val="0"/>
          <w:position w:val="0"/>
          <w:sz w:val="32"/>
          <w:szCs w:val="32"/>
        </w:rPr>
        <w:t>要加强组织统筹，做好进度安排、任务落地、资源调配、工作经费落实等工作，确保责任落实到位。各</w:t>
      </w:r>
      <w:r>
        <w:rPr>
          <w:rFonts w:hint="eastAsia" w:ascii="仿宋_GB2312" w:hAnsi="仿宋_GB2312" w:eastAsia="仿宋_GB2312" w:cs="仿宋_GB2312"/>
          <w:spacing w:val="0"/>
          <w:position w:val="0"/>
          <w:sz w:val="32"/>
          <w:szCs w:val="32"/>
          <w:lang w:eastAsia="zh-CN"/>
        </w:rPr>
        <w:t>相关</w:t>
      </w:r>
      <w:r>
        <w:rPr>
          <w:rFonts w:hint="eastAsia" w:ascii="仿宋_GB2312" w:hAnsi="仿宋_GB2312" w:eastAsia="仿宋_GB2312" w:cs="仿宋_GB2312"/>
          <w:spacing w:val="0"/>
          <w:position w:val="0"/>
          <w:sz w:val="32"/>
          <w:szCs w:val="32"/>
        </w:rPr>
        <w:t>行政主管部门要严格落实行业监管，负责本领域、本行业燃气安全排查整治的监督指导工作。</w:t>
      </w: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spacing w:val="0"/>
          <w:position w:val="0"/>
          <w:sz w:val="32"/>
          <w:szCs w:val="32"/>
        </w:rPr>
        <w:t>要严格落实属地责任，组织本区域燃气安全隐患排查整改工作。严格落实企业安全主体责任。</w:t>
      </w:r>
      <w:r>
        <w:rPr>
          <w:rFonts w:hint="eastAsia" w:ascii="仿宋_GB2312" w:hAnsi="仿宋_GB2312" w:eastAsia="仿宋_GB2312" w:cs="仿宋_GB2312"/>
          <w:spacing w:val="0"/>
          <w:position w:val="0"/>
          <w:sz w:val="32"/>
          <w:szCs w:val="32"/>
          <w:lang w:val="en-US" w:eastAsia="zh-CN"/>
        </w:rPr>
        <w:t>各单位</w:t>
      </w:r>
      <w:r>
        <w:rPr>
          <w:rFonts w:hint="eastAsia" w:ascii="仿宋_GB2312" w:hAnsi="仿宋_GB2312" w:eastAsia="仿宋_GB2312" w:cs="仿宋_GB2312"/>
          <w:spacing w:val="0"/>
          <w:position w:val="0"/>
          <w:sz w:val="32"/>
          <w:szCs w:val="32"/>
        </w:rPr>
        <w:t>要举一反三排查安全隐患，超出本实施方案规定排查范围的，应参照上述要求制定专项方案并进行整改整治。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（二）</w:t>
      </w:r>
      <w:r>
        <w:rPr>
          <w:rFonts w:hint="eastAsia" w:ascii="楷体_GB2312" w:hAnsi="楷体_GB2312" w:eastAsia="楷体_GB2312" w:cs="楷体_GB2312"/>
          <w:b w:val="0"/>
          <w:bCs w:val="0"/>
          <w:spacing w:val="0"/>
          <w:position w:val="0"/>
          <w:sz w:val="32"/>
          <w:szCs w:val="32"/>
        </w:rPr>
        <w:t>严格执法处罚。</w:t>
      </w:r>
      <w:r>
        <w:rPr>
          <w:rFonts w:hint="eastAsia" w:ascii="仿宋_GB2312" w:hAnsi="仿宋_GB2312" w:eastAsia="仿宋_GB2312" w:cs="仿宋_GB2312"/>
          <w:spacing w:val="0"/>
          <w:position w:val="0"/>
          <w:sz w:val="32"/>
          <w:szCs w:val="32"/>
        </w:rPr>
        <w:t>加强部门之间的协调联动，开展联合执法，着力解决只检查不执法、执法宽松软等问题，做到“五个坚决”</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对使用燃气的餐饮场所未安装使用燃气泄漏报警器的，坚决依法处罚</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对存在重大隐患、不符合安全条件的餐饮场所，坚决按规定停止使用燃气并落实安全防范措施</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对不按要求加臭、违规供气的燃气企业，坚决依法严厉打击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对因燃气企业入户检查不认真而导致的事故，坚决严格倒查追究燃气企业相关责任</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对燃气企业不符合市场准入条件且整改后仍不符合法定条件的，坚决依法清出燃气市场。严格执行刑法修正案(十一)有关规定，对危及公共安全的严重违法行为，及时移送司法机关处理，确保快查快办。</w:t>
      </w:r>
    </w:p>
    <w:p>
      <w:pPr>
        <w:keepNext w:val="0"/>
        <w:keepLines w:val="0"/>
        <w:pageBreakBefore w:val="0"/>
        <w:kinsoku/>
        <w:wordWrap/>
        <w:overflowPunct/>
        <w:topLinePunct w:val="0"/>
        <w:autoSpaceDE/>
        <w:autoSpaceDN/>
        <w:bidi w:val="0"/>
        <w:adjustRightInd/>
        <w:snapToGrid/>
        <w:spacing w:line="580" w:lineRule="exact"/>
        <w:ind w:right="67"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（三）</w:t>
      </w:r>
      <w:r>
        <w:rPr>
          <w:rFonts w:hint="eastAsia" w:ascii="楷体_GB2312" w:hAnsi="楷体_GB2312" w:eastAsia="楷体_GB2312" w:cs="楷体_GB2312"/>
          <w:b w:val="0"/>
          <w:bCs w:val="0"/>
          <w:spacing w:val="0"/>
          <w:position w:val="0"/>
          <w:sz w:val="32"/>
          <w:szCs w:val="32"/>
        </w:rPr>
        <w:t>严格追责问责。</w:t>
      </w:r>
      <w:r>
        <w:rPr>
          <w:rFonts w:hint="eastAsia" w:ascii="仿宋_GB2312" w:hAnsi="仿宋_GB2312" w:eastAsia="仿宋_GB2312" w:cs="仿宋_GB2312"/>
          <w:spacing w:val="0"/>
          <w:position w:val="0"/>
          <w:sz w:val="32"/>
          <w:szCs w:val="32"/>
        </w:rPr>
        <w:t>百日行动期间发生燃气伤亡事故的</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要认真组织调查，对社会影响大的典型事故要提级调查，依法依规彻查事故原因、倒查企业主体责任和部门监管责任，对不作为慢作为等失职渎职的，及时将线索移交纪委监委。对明知存在危及公共安全的重大安全隐患又长期不推动解决的</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要“把隐患当作事故来对待”</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依法严肃追究相关责任人的责任。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五、保障措施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（一）</w:t>
      </w:r>
      <w:r>
        <w:rPr>
          <w:rFonts w:hint="eastAsia" w:ascii="楷体_GB2312" w:hAnsi="楷体_GB2312" w:eastAsia="楷体_GB2312" w:cs="楷体_GB2312"/>
          <w:b w:val="0"/>
          <w:bCs w:val="0"/>
          <w:spacing w:val="0"/>
          <w:position w:val="0"/>
          <w:sz w:val="32"/>
          <w:szCs w:val="32"/>
        </w:rPr>
        <w:t>健全制度机制。</w:t>
      </w:r>
      <w:r>
        <w:rPr>
          <w:rFonts w:hint="eastAsia" w:ascii="仿宋_GB2312" w:hAnsi="仿宋_GB2312" w:eastAsia="仿宋_GB2312" w:cs="仿宋_GB2312"/>
          <w:b w:val="0"/>
          <w:bCs w:val="0"/>
          <w:spacing w:val="0"/>
          <w:position w:val="0"/>
          <w:sz w:val="32"/>
          <w:szCs w:val="32"/>
          <w:lang w:val="en-US" w:eastAsia="zh-CN"/>
        </w:rPr>
        <w:t>区城镇燃气安全排查整治工作专班</w:t>
      </w:r>
      <w:r>
        <w:rPr>
          <w:rFonts w:hint="eastAsia" w:ascii="仿宋_GB2312" w:hAnsi="仿宋_GB2312" w:eastAsia="仿宋_GB2312" w:cs="仿宋_GB2312"/>
          <w:spacing w:val="0"/>
          <w:position w:val="0"/>
          <w:sz w:val="32"/>
          <w:szCs w:val="32"/>
        </w:rPr>
        <w:t>牵头组织，燃气主管、住建、市场监管、商务、公安、交通、消防、教育、卫生健康等有关部门单位和社会力量共同参与的百日行动工作机制，集中开展此次整治。要制定百日行动方案，完善排查整治方式，丰富排查治理手段，落实排查整治责任，扎实推动百日行动各项工作任务。注重总结行动中好的经验做法，建立长效工作机制，实现工作规范化、常态化、长效化，确保城镇燃气安全排查整治工作一抓到底、常抓不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（二）</w:t>
      </w:r>
      <w:r>
        <w:rPr>
          <w:rFonts w:hint="eastAsia" w:ascii="楷体_GB2312" w:hAnsi="楷体_GB2312" w:eastAsia="楷体_GB2312" w:cs="楷体_GB2312"/>
          <w:b w:val="0"/>
          <w:bCs w:val="0"/>
          <w:spacing w:val="0"/>
          <w:position w:val="0"/>
          <w:sz w:val="32"/>
          <w:szCs w:val="32"/>
        </w:rPr>
        <w:t>强化调度通报。</w:t>
      </w: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spacing w:val="0"/>
          <w:position w:val="0"/>
          <w:sz w:val="32"/>
          <w:szCs w:val="32"/>
        </w:rPr>
        <w:t>各有关部门要建立定期通报制度，每周调度通报本地本行业排查治理情况和燃气事故，对工作推进缓慢的要指名道姓通报批评，尤其是推诿扯皮、作风不实、边整改边出事的，上级安委会要及时约谈相关负责人，真正紧盯不放、一抓到底。上级政府和有关部门要加强跟踪指导帮助，重大问题派出工作组现场指导，及时发现问题、解决问题。</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城镇燃气安全排查整治工作专班将每</w:t>
      </w:r>
      <w:r>
        <w:rPr>
          <w:rFonts w:hint="eastAsia" w:ascii="仿宋_GB2312" w:hAnsi="仿宋_GB2312" w:eastAsia="仿宋_GB2312" w:cs="仿宋_GB2312"/>
          <w:spacing w:val="0"/>
          <w:position w:val="0"/>
          <w:sz w:val="32"/>
          <w:szCs w:val="32"/>
          <w:lang w:eastAsia="zh-CN"/>
        </w:rPr>
        <w:t>周</w:t>
      </w:r>
      <w:r>
        <w:rPr>
          <w:rFonts w:hint="eastAsia" w:ascii="仿宋_GB2312" w:hAnsi="仿宋_GB2312" w:eastAsia="仿宋_GB2312" w:cs="仿宋_GB2312"/>
          <w:spacing w:val="0"/>
          <w:position w:val="0"/>
          <w:sz w:val="32"/>
          <w:szCs w:val="32"/>
        </w:rPr>
        <w:t>通报一次各</w:t>
      </w:r>
      <w:r>
        <w:rPr>
          <w:rFonts w:hint="eastAsia" w:ascii="仿宋_GB2312" w:hAnsi="仿宋_GB2312" w:eastAsia="仿宋_GB2312" w:cs="仿宋_GB2312"/>
          <w:spacing w:val="0"/>
          <w:position w:val="0"/>
          <w:sz w:val="32"/>
          <w:szCs w:val="32"/>
          <w:lang w:val="en-US" w:eastAsia="zh-CN"/>
        </w:rPr>
        <w:t>相关单位</w:t>
      </w:r>
      <w:r>
        <w:rPr>
          <w:rFonts w:hint="eastAsia" w:ascii="仿宋_GB2312" w:hAnsi="仿宋_GB2312" w:eastAsia="仿宋_GB2312" w:cs="仿宋_GB2312"/>
          <w:spacing w:val="0"/>
          <w:position w:val="0"/>
          <w:sz w:val="32"/>
          <w:szCs w:val="32"/>
        </w:rPr>
        <w:t>百日行动进展情况。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（三）</w:t>
      </w:r>
      <w:r>
        <w:rPr>
          <w:rFonts w:hint="eastAsia" w:ascii="楷体_GB2312" w:hAnsi="楷体_GB2312" w:eastAsia="楷体_GB2312" w:cs="楷体_GB2312"/>
          <w:b w:val="0"/>
          <w:bCs w:val="0"/>
          <w:spacing w:val="0"/>
          <w:position w:val="0"/>
          <w:sz w:val="32"/>
          <w:szCs w:val="32"/>
        </w:rPr>
        <w:t>加强人员教育培训。</w:t>
      </w:r>
      <w:r>
        <w:rPr>
          <w:rFonts w:hint="eastAsia" w:ascii="仿宋_GB2312" w:hAnsi="仿宋_GB2312" w:eastAsia="仿宋_GB2312" w:cs="仿宋_GB2312"/>
          <w:spacing w:val="0"/>
          <w:position w:val="0"/>
          <w:sz w:val="32"/>
          <w:szCs w:val="32"/>
        </w:rPr>
        <w:t>各</w:t>
      </w:r>
      <w:r>
        <w:rPr>
          <w:rFonts w:hint="eastAsia" w:ascii="仿宋_GB2312" w:hAnsi="仿宋_GB2312" w:eastAsia="仿宋_GB2312" w:cs="仿宋_GB2312"/>
          <w:spacing w:val="0"/>
          <w:position w:val="0"/>
          <w:sz w:val="32"/>
          <w:szCs w:val="32"/>
          <w:lang w:val="en-US" w:eastAsia="zh-CN"/>
        </w:rPr>
        <w:t>单位</w:t>
      </w:r>
      <w:r>
        <w:rPr>
          <w:rFonts w:hint="eastAsia" w:ascii="仿宋_GB2312" w:hAnsi="仿宋_GB2312" w:eastAsia="仿宋_GB2312" w:cs="仿宋_GB2312"/>
          <w:spacing w:val="0"/>
          <w:position w:val="0"/>
          <w:sz w:val="32"/>
          <w:szCs w:val="32"/>
        </w:rPr>
        <w:t>要以城镇燃气安全排查整治百日行动为契机，通过参与督导检查、组织集中学习等方式，加强本</w:t>
      </w:r>
      <w:r>
        <w:rPr>
          <w:rFonts w:hint="eastAsia" w:ascii="仿宋_GB2312" w:hAnsi="仿宋_GB2312" w:eastAsia="仿宋_GB2312" w:cs="仿宋_GB2312"/>
          <w:spacing w:val="0"/>
          <w:position w:val="0"/>
          <w:sz w:val="32"/>
          <w:szCs w:val="32"/>
          <w:lang w:val="en-US" w:eastAsia="zh-CN"/>
        </w:rPr>
        <w:t>乡办</w:t>
      </w:r>
      <w:r>
        <w:rPr>
          <w:rFonts w:hint="eastAsia" w:ascii="仿宋_GB2312" w:hAnsi="仿宋_GB2312" w:eastAsia="仿宋_GB2312" w:cs="仿宋_GB2312"/>
          <w:spacing w:val="0"/>
          <w:position w:val="0"/>
          <w:sz w:val="32"/>
          <w:szCs w:val="32"/>
        </w:rPr>
        <w:t>本系统燃气安全领域人员培训学习，确保相关人员既懂政策也懂业务。各类燃气经营、储存、运输、配送、使用、施工企业要严格按照安全生产法律法规有关要求，设置安全管理组织机构，配足专职安全管理人员，加强内部人员教育培训，提升从业人员安全生产意识</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做到“人人想安全、人人懂安全、人人管安全</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严防燃气安全事故发生。</w:t>
      </w:r>
    </w:p>
    <w:p>
      <w:pPr>
        <w:keepNext w:val="0"/>
        <w:keepLines w:val="0"/>
        <w:pageBreakBefore w:val="0"/>
        <w:kinsoku/>
        <w:wordWrap/>
        <w:overflowPunct/>
        <w:topLinePunct w:val="0"/>
        <w:autoSpaceDE/>
        <w:autoSpaceDN/>
        <w:bidi w:val="0"/>
        <w:adjustRightInd/>
        <w:snapToGrid/>
        <w:spacing w:line="580" w:lineRule="exact"/>
        <w:ind w:right="86"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b w:val="0"/>
          <w:bCs w:val="0"/>
          <w:spacing w:val="0"/>
          <w:position w:val="0"/>
          <w:sz w:val="32"/>
          <w:szCs w:val="32"/>
          <w:lang w:eastAsia="zh-CN"/>
        </w:rPr>
        <w:t>（四）</w:t>
      </w:r>
      <w:r>
        <w:rPr>
          <w:rFonts w:hint="eastAsia" w:ascii="楷体_GB2312" w:hAnsi="楷体_GB2312" w:eastAsia="楷体_GB2312" w:cs="楷体_GB2312"/>
          <w:b w:val="0"/>
          <w:bCs w:val="0"/>
          <w:spacing w:val="0"/>
          <w:position w:val="0"/>
          <w:sz w:val="32"/>
          <w:szCs w:val="32"/>
        </w:rPr>
        <w:t>广泛开展宣传。</w:t>
      </w:r>
      <w:r>
        <w:rPr>
          <w:rFonts w:hint="eastAsia" w:ascii="仿宋_GB2312" w:hAnsi="仿宋_GB2312" w:eastAsia="仿宋_GB2312" w:cs="仿宋_GB2312"/>
          <w:spacing w:val="0"/>
          <w:position w:val="0"/>
          <w:sz w:val="32"/>
          <w:szCs w:val="32"/>
          <w:lang w:val="en-US" w:eastAsia="zh-CN"/>
        </w:rPr>
        <w:t>全区各单位</w:t>
      </w:r>
      <w:r>
        <w:rPr>
          <w:rFonts w:hint="eastAsia" w:ascii="仿宋_GB2312" w:hAnsi="仿宋_GB2312" w:eastAsia="仿宋_GB2312" w:cs="仿宋_GB2312"/>
          <w:spacing w:val="0"/>
          <w:position w:val="0"/>
          <w:sz w:val="32"/>
          <w:szCs w:val="32"/>
        </w:rPr>
        <w:t>要广泛动员基层组织和社会媒体，充分发挥基层网格化治理作用，制作公益广告、主题漫画、动画短片等，充分运用公园、小区、学校、市场等企事业单位LED屏，广播、电视、微博、微信、抖音等多种方式，循环滚动播放，不断加大对企业、商户、群众的安全宣传和警示教育，普及燃气各类安全检查、应急处置等基本知识，确保燃气供应、运输、使用环节安全。要积极引导全社会共同参与燃气安全管理工作，</w:t>
      </w: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color w:val="000000"/>
          <w:sz w:val="32"/>
          <w:szCs w:val="32"/>
          <w:lang w:val="en-US" w:eastAsia="zh-CN"/>
        </w:rPr>
        <w:t>各有关部门</w:t>
      </w:r>
      <w:r>
        <w:rPr>
          <w:rFonts w:hint="eastAsia" w:ascii="仿宋_GB2312" w:hAnsi="仿宋_GB2312" w:eastAsia="仿宋_GB2312" w:cs="仿宋_GB2312"/>
          <w:spacing w:val="0"/>
          <w:position w:val="0"/>
          <w:sz w:val="32"/>
          <w:szCs w:val="32"/>
          <w:lang w:eastAsia="zh-CN"/>
        </w:rPr>
        <w:t>要建立有奖举报制度，设立举报电话，</w:t>
      </w:r>
      <w:r>
        <w:rPr>
          <w:rFonts w:hint="eastAsia" w:ascii="仿宋_GB2312" w:hAnsi="仿宋_GB2312" w:eastAsia="仿宋_GB2312" w:cs="仿宋_GB2312"/>
          <w:spacing w:val="0"/>
          <w:position w:val="0"/>
          <w:sz w:val="32"/>
          <w:szCs w:val="32"/>
        </w:rPr>
        <w:t>鼓励群众通过</w:t>
      </w:r>
      <w:r>
        <w:rPr>
          <w:rFonts w:hint="eastAsia" w:ascii="仿宋_GB2312" w:hAnsi="仿宋_GB2312" w:eastAsia="仿宋_GB2312" w:cs="仿宋_GB2312"/>
          <w:spacing w:val="0"/>
          <w:position w:val="0"/>
          <w:sz w:val="32"/>
          <w:szCs w:val="32"/>
          <w:lang w:eastAsia="zh-CN"/>
        </w:rPr>
        <w:t>举报电话或</w:t>
      </w:r>
      <w:r>
        <w:rPr>
          <w:rFonts w:hint="eastAsia" w:ascii="仿宋_GB2312" w:hAnsi="仿宋_GB2312" w:eastAsia="仿宋_GB2312" w:cs="仿宋_GB2312"/>
          <w:spacing w:val="0"/>
          <w:position w:val="0"/>
          <w:sz w:val="32"/>
          <w:szCs w:val="32"/>
          <w:lang w:val="en-US" w:eastAsia="zh-CN"/>
        </w:rPr>
        <w:t>12345</w:t>
      </w:r>
      <w:r>
        <w:rPr>
          <w:rFonts w:hint="eastAsia" w:ascii="仿宋_GB2312" w:hAnsi="仿宋_GB2312" w:eastAsia="仿宋_GB2312" w:cs="仿宋_GB2312"/>
          <w:spacing w:val="0"/>
          <w:position w:val="0"/>
          <w:sz w:val="32"/>
          <w:szCs w:val="32"/>
        </w:rPr>
        <w:t>热线等渠道举报各类燃气安全问题隐患，</w:t>
      </w:r>
      <w:r>
        <w:rPr>
          <w:rFonts w:hint="eastAsia" w:ascii="仿宋_GB2312" w:hAnsi="仿宋_GB2312" w:eastAsia="仿宋_GB2312" w:cs="仿宋_GB2312"/>
          <w:spacing w:val="0"/>
          <w:position w:val="0"/>
          <w:sz w:val="32"/>
          <w:szCs w:val="32"/>
          <w:lang w:val="en-US" w:eastAsia="zh-CN"/>
        </w:rPr>
        <w:t>各单位</w:t>
      </w:r>
      <w:r>
        <w:rPr>
          <w:rFonts w:hint="eastAsia" w:ascii="仿宋_GB2312" w:hAnsi="仿宋_GB2312" w:eastAsia="仿宋_GB2312" w:cs="仿宋_GB2312"/>
          <w:spacing w:val="0"/>
          <w:position w:val="0"/>
          <w:sz w:val="32"/>
          <w:szCs w:val="32"/>
        </w:rPr>
        <w:t>要对群众举报的损害燃气设施违法行为和事故隐患，即时响应、立即处置。</w:t>
      </w:r>
    </w:p>
    <w:p>
      <w:pPr>
        <w:keepNext w:val="0"/>
        <w:keepLines w:val="0"/>
        <w:pageBreakBefore w:val="0"/>
        <w:kinsoku/>
        <w:wordWrap/>
        <w:overflowPunct/>
        <w:topLinePunct w:val="0"/>
        <w:autoSpaceDE/>
        <w:autoSpaceDN/>
        <w:bidi w:val="0"/>
        <w:adjustRightInd/>
        <w:snapToGrid/>
        <w:spacing w:line="580" w:lineRule="exact"/>
        <w:ind w:firstLine="59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color w:val="000000"/>
          <w:sz w:val="32"/>
          <w:szCs w:val="32"/>
          <w:lang w:eastAsia="zh-CN"/>
        </w:rPr>
        <w:t>曹镇乡</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各街道办事处，</w:t>
      </w:r>
      <w:r>
        <w:rPr>
          <w:rFonts w:hint="eastAsia" w:ascii="仿宋_GB2312" w:hAnsi="仿宋_GB2312" w:eastAsia="仿宋_GB2312" w:cs="仿宋_GB2312"/>
          <w:color w:val="000000"/>
          <w:sz w:val="32"/>
          <w:szCs w:val="32"/>
          <w:lang w:val="en-US" w:eastAsia="zh-CN"/>
        </w:rPr>
        <w:t>区直相关单位，</w:t>
      </w:r>
      <w:r>
        <w:rPr>
          <w:rFonts w:hint="eastAsia" w:ascii="仿宋_GB2312" w:hAnsi="仿宋_GB2312" w:eastAsia="仿宋_GB2312" w:cs="仿宋_GB2312"/>
          <w:spacing w:val="0"/>
          <w:position w:val="0"/>
          <w:sz w:val="32"/>
          <w:szCs w:val="32"/>
        </w:rPr>
        <w:t>请于7月31日前向</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城镇燃气安全排查整治工作专班报送百日行动工作方案，明确1名联系人，每月10日、25日前报送整治进展情况(附件</w:t>
      </w: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10月25日前报送工作总结(含整治进展情况)</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同时抄送</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rPr>
        <w:t>安委办。</w:t>
      </w:r>
    </w:p>
    <w:p>
      <w:pPr>
        <w:keepNext w:val="0"/>
        <w:keepLines w:val="0"/>
        <w:pageBreakBefore w:val="0"/>
        <w:kinsoku/>
        <w:wordWrap/>
        <w:overflowPunct/>
        <w:topLinePunct w:val="0"/>
        <w:autoSpaceDE/>
        <w:autoSpaceDN/>
        <w:bidi w:val="0"/>
        <w:adjustRightInd/>
        <w:snapToGrid/>
        <w:spacing w:line="580" w:lineRule="exact"/>
        <w:ind w:left="590"/>
        <w:textAlignment w:val="auto"/>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rPr>
        <w:t>联</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系</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人：</w:t>
      </w:r>
      <w:r>
        <w:rPr>
          <w:rFonts w:hint="eastAsia" w:ascii="仿宋_GB2312" w:hAnsi="仿宋_GB2312" w:eastAsia="仿宋_GB2312" w:cs="仿宋_GB2312"/>
          <w:spacing w:val="0"/>
          <w:position w:val="0"/>
          <w:sz w:val="32"/>
          <w:szCs w:val="32"/>
          <w:lang w:val="en-US" w:eastAsia="zh-CN"/>
        </w:rPr>
        <w:t>区</w:t>
      </w:r>
      <w:r>
        <w:rPr>
          <w:rFonts w:hint="eastAsia" w:ascii="仿宋_GB2312" w:hAnsi="仿宋_GB2312" w:eastAsia="仿宋_GB2312" w:cs="仿宋_GB2312"/>
          <w:spacing w:val="0"/>
          <w:position w:val="0"/>
          <w:sz w:val="32"/>
          <w:szCs w:val="32"/>
          <w:lang w:eastAsia="zh-CN"/>
        </w:rPr>
        <w:t>城市管理局</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lang w:val="en-US" w:eastAsia="zh-CN"/>
        </w:rPr>
        <w:t xml:space="preserve"> 张召辉 张志勇  </w:t>
      </w:r>
    </w:p>
    <w:p>
      <w:pPr>
        <w:keepNext w:val="0"/>
        <w:keepLines w:val="0"/>
        <w:pageBreakBefore w:val="0"/>
        <w:kinsoku/>
        <w:wordWrap/>
        <w:overflowPunct/>
        <w:topLinePunct w:val="0"/>
        <w:autoSpaceDE/>
        <w:autoSpaceDN/>
        <w:bidi w:val="0"/>
        <w:adjustRightInd/>
        <w:snapToGrid/>
        <w:spacing w:line="580" w:lineRule="exact"/>
        <w:ind w:left="590"/>
        <w:textAlignment w:val="auto"/>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eastAsia="zh-CN"/>
        </w:rPr>
        <w:t>联系电话：</w:t>
      </w:r>
      <w:r>
        <w:rPr>
          <w:rFonts w:hint="eastAsia" w:ascii="仿宋_GB2312" w:hAnsi="仿宋_GB2312" w:eastAsia="仿宋_GB2312" w:cs="仿宋_GB2312"/>
          <w:spacing w:val="0"/>
          <w:position w:val="0"/>
          <w:sz w:val="32"/>
          <w:szCs w:val="32"/>
          <w:lang w:val="en-US" w:eastAsia="zh-CN"/>
        </w:rPr>
        <w:t>0375-7011353</w:t>
      </w:r>
    </w:p>
    <w:p>
      <w:pPr>
        <w:keepNext w:val="0"/>
        <w:keepLines w:val="0"/>
        <w:pageBreakBefore w:val="0"/>
        <w:kinsoku/>
        <w:wordWrap/>
        <w:overflowPunct/>
        <w:topLinePunct w:val="0"/>
        <w:autoSpaceDE/>
        <w:autoSpaceDN/>
        <w:bidi w:val="0"/>
        <w:adjustRightInd/>
        <w:snapToGrid/>
        <w:spacing w:line="580" w:lineRule="exact"/>
        <w:ind w:left="59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邮</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 xml:space="preserve"> 箱：</w:t>
      </w:r>
      <w:r>
        <w:rPr>
          <w:rFonts w:hint="eastAsia" w:ascii="仿宋_GB2312" w:hAnsi="仿宋_GB2312" w:eastAsia="仿宋_GB2312" w:cs="仿宋_GB2312"/>
          <w:spacing w:val="0"/>
          <w:position w:val="0"/>
          <w:sz w:val="32"/>
          <w:szCs w:val="32"/>
        </w:rPr>
        <w:fldChar w:fldCharType="begin"/>
      </w:r>
      <w:r>
        <w:rPr>
          <w:rFonts w:hint="eastAsia" w:ascii="仿宋_GB2312" w:hAnsi="仿宋_GB2312" w:eastAsia="仿宋_GB2312" w:cs="仿宋_GB2312"/>
          <w:spacing w:val="0"/>
          <w:position w:val="0"/>
          <w:sz w:val="32"/>
          <w:szCs w:val="32"/>
        </w:rPr>
        <w:instrText xml:space="preserve"> HYPERLINK "mailto:zhgghyglbgs@163.com" </w:instrText>
      </w:r>
      <w:r>
        <w:rPr>
          <w:rFonts w:hint="eastAsia" w:ascii="仿宋_GB2312" w:hAnsi="仿宋_GB2312" w:eastAsia="仿宋_GB2312" w:cs="仿宋_GB2312"/>
          <w:spacing w:val="0"/>
          <w:position w:val="0"/>
          <w:sz w:val="32"/>
          <w:szCs w:val="32"/>
        </w:rPr>
        <w:fldChar w:fldCharType="separate"/>
      </w:r>
      <w:r>
        <w:rPr>
          <w:rStyle w:val="12"/>
          <w:rFonts w:hint="eastAsia" w:ascii="仿宋_GB2312" w:hAnsi="仿宋_GB2312" w:eastAsia="仿宋_GB2312" w:cs="仿宋_GB2312"/>
          <w:spacing w:val="0"/>
          <w:position w:val="0"/>
          <w:sz w:val="32"/>
          <w:szCs w:val="32"/>
        </w:rPr>
        <w:t>zhgghyglbgs@163.com</w:t>
      </w:r>
      <w:r>
        <w:rPr>
          <w:rFonts w:hint="eastAsia" w:ascii="仿宋_GB2312" w:hAnsi="仿宋_GB2312" w:eastAsia="仿宋_GB2312" w:cs="仿宋_GB2312"/>
          <w:spacing w:val="0"/>
          <w:position w:val="0"/>
          <w:sz w:val="32"/>
          <w:szCs w:val="32"/>
        </w:rPr>
        <w:fldChar w:fldCharType="end"/>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80" w:lineRule="exact"/>
        <w:ind w:left="59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百日行动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整治进展情况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2．湛河区</w:t>
      </w:r>
      <w:r>
        <w:rPr>
          <w:rFonts w:hint="eastAsia" w:ascii="仿宋_GB2312" w:hAnsi="仿宋_GB2312" w:eastAsia="仿宋_GB2312" w:cs="仿宋_GB2312"/>
          <w:sz w:val="32"/>
          <w:szCs w:val="32"/>
        </w:rPr>
        <w:t xml:space="preserve">城镇燃气安全排查整治重点工作进度表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3．湛河区</w:t>
      </w:r>
      <w:r>
        <w:rPr>
          <w:rFonts w:hint="eastAsia" w:ascii="仿宋_GB2312" w:hAnsi="仿宋_GB2312" w:eastAsia="仿宋_GB2312" w:cs="仿宋_GB2312"/>
          <w:sz w:val="32"/>
          <w:szCs w:val="32"/>
        </w:rPr>
        <w:t>城镇燃气安全排查整治问题整改台账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百日行动整治分片包干分工表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宋体" w:eastAsia="黑体" w:cs="黑体"/>
          <w:i w:val="0"/>
          <w:caps w:val="0"/>
          <w:color w:val="000000"/>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sz w:val="32"/>
          <w:szCs w:val="32"/>
          <w:shd w:val="clear" w:color="auto" w:fill="FFFFFF"/>
        </w:rPr>
        <w:t>附件</w:t>
      </w:r>
      <w:r>
        <w:rPr>
          <w:rFonts w:hint="default" w:ascii="Times New Roman" w:hAnsi="Times New Roman" w:cs="Times New Roman"/>
          <w:i w:val="0"/>
          <w:caps w:val="0"/>
          <w:color w:val="000000"/>
          <w:spacing w:val="0"/>
          <w:sz w:val="32"/>
          <w:szCs w:val="32"/>
          <w:shd w:val="clear" w:color="auto" w:fill="FFFFFF"/>
        </w:rPr>
        <w:t>1</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w:t>
      </w:r>
      <w:r>
        <w:rPr>
          <w:rFonts w:hint="eastAsia" w:ascii="方正小标宋简体" w:hAnsi="方正小标宋简体" w:eastAsia="方正小标宋简体" w:cs="方正小标宋简体"/>
          <w:i w:val="0"/>
          <w:caps w:val="0"/>
          <w:color w:val="000000"/>
          <w:spacing w:val="0"/>
          <w:sz w:val="44"/>
          <w:szCs w:val="44"/>
          <w:shd w:val="clear" w:color="auto" w:fill="FFFFFF"/>
        </w:rPr>
        <w:t>百日行动</w:t>
      </w: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w:t>
      </w:r>
      <w:r>
        <w:rPr>
          <w:rFonts w:hint="eastAsia" w:ascii="方正小标宋简体" w:hAnsi="方正小标宋简体" w:eastAsia="方正小标宋简体" w:cs="方正小标宋简体"/>
          <w:i w:val="0"/>
          <w:caps w:val="0"/>
          <w:color w:val="000000"/>
          <w:spacing w:val="0"/>
          <w:sz w:val="44"/>
          <w:szCs w:val="44"/>
          <w:shd w:val="clear" w:color="auto" w:fill="FFFFFF"/>
        </w:rPr>
        <w:t>整治进展情况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Times New Roman" w:hAnsi="Times New Roman" w:cs="Times New Roman"/>
          <w:i w:val="0"/>
          <w:caps w:val="0"/>
          <w:color w:val="333333"/>
          <w:spacing w:val="0"/>
          <w:sz w:val="21"/>
          <w:szCs w:val="21"/>
        </w:rPr>
      </w:pPr>
      <w:r>
        <w:rPr>
          <w:rFonts w:hint="eastAsia" w:ascii="楷体" w:hAnsi="楷体" w:eastAsia="楷体" w:cs="楷体"/>
          <w:i w:val="0"/>
          <w:caps w:val="0"/>
          <w:color w:val="000000"/>
          <w:spacing w:val="0"/>
          <w:sz w:val="32"/>
          <w:szCs w:val="32"/>
          <w:shd w:val="clear" w:color="auto" w:fill="FFFFFF"/>
        </w:rPr>
        <w:t>填报单位：</w:t>
      </w:r>
      <w:r>
        <w:rPr>
          <w:rFonts w:hint="default" w:ascii="Times New Roman" w:hAnsi="Times New Roman" w:cs="Times New Roman"/>
          <w:i w:val="0"/>
          <w:caps w:val="0"/>
          <w:color w:val="000000"/>
          <w:spacing w:val="0"/>
          <w:sz w:val="32"/>
          <w:szCs w:val="32"/>
          <w:shd w:val="clear" w:color="auto" w:fill="FFFFFF"/>
        </w:rPr>
        <w:t>                    </w:t>
      </w:r>
      <w:r>
        <w:rPr>
          <w:rFonts w:hint="eastAsia" w:ascii="楷体" w:hAnsi="楷体" w:eastAsia="楷体" w:cs="楷体"/>
          <w:i w:val="0"/>
          <w:caps w:val="0"/>
          <w:color w:val="000000"/>
          <w:spacing w:val="0"/>
          <w:sz w:val="32"/>
          <w:szCs w:val="32"/>
          <w:shd w:val="clear" w:color="auto" w:fill="FFFFFF"/>
        </w:rPr>
        <w:t>填报日期</w:t>
      </w:r>
      <w:r>
        <w:rPr>
          <w:rFonts w:hint="default" w:ascii="Times New Roman" w:hAnsi="Times New Roman" w:cs="Times New Roman"/>
          <w:i w:val="0"/>
          <w:caps w:val="0"/>
          <w:color w:val="000000"/>
          <w:spacing w:val="0"/>
          <w:sz w:val="32"/>
          <w:szCs w:val="32"/>
          <w:shd w:val="clear" w:color="auto" w:fill="FFFFFF"/>
        </w:rPr>
        <w:t>:   </w:t>
      </w:r>
      <w:r>
        <w:rPr>
          <w:rFonts w:hint="eastAsia" w:ascii="楷体" w:hAnsi="楷体" w:eastAsia="楷体" w:cs="楷体"/>
          <w:i w:val="0"/>
          <w:caps w:val="0"/>
          <w:color w:val="000000"/>
          <w:spacing w:val="0"/>
          <w:sz w:val="32"/>
          <w:szCs w:val="32"/>
          <w:shd w:val="clear" w:color="auto" w:fill="FFFFFF"/>
        </w:rPr>
        <w:t>年</w:t>
      </w:r>
      <w:r>
        <w:rPr>
          <w:rFonts w:hint="default" w:ascii="Times New Roman" w:hAnsi="Times New Roman" w:cs="Times New Roman"/>
          <w:i w:val="0"/>
          <w:caps w:val="0"/>
          <w:color w:val="000000"/>
          <w:spacing w:val="0"/>
          <w:sz w:val="32"/>
          <w:szCs w:val="32"/>
          <w:shd w:val="clear" w:color="auto" w:fill="FFFFFF"/>
        </w:rPr>
        <w:t>  </w:t>
      </w:r>
      <w:r>
        <w:rPr>
          <w:rFonts w:hint="eastAsia" w:ascii="楷体" w:hAnsi="楷体" w:eastAsia="楷体" w:cs="楷体"/>
          <w:i w:val="0"/>
          <w:caps w:val="0"/>
          <w:color w:val="000000"/>
          <w:spacing w:val="0"/>
          <w:sz w:val="32"/>
          <w:szCs w:val="32"/>
          <w:shd w:val="clear" w:color="auto" w:fill="FFFFFF"/>
        </w:rPr>
        <w:t>月</w:t>
      </w:r>
      <w:r>
        <w:rPr>
          <w:rFonts w:hint="default" w:ascii="Times New Roman" w:hAnsi="Times New Roman" w:cs="Times New Roman"/>
          <w:i w:val="0"/>
          <w:caps w:val="0"/>
          <w:color w:val="000000"/>
          <w:spacing w:val="0"/>
          <w:sz w:val="32"/>
          <w:szCs w:val="32"/>
          <w:shd w:val="clear" w:color="auto" w:fill="FFFFFF"/>
        </w:rPr>
        <w:t>   </w:t>
      </w:r>
      <w:r>
        <w:rPr>
          <w:rFonts w:hint="eastAsia" w:ascii="楷体" w:hAnsi="楷体" w:eastAsia="楷体" w:cs="楷体"/>
          <w:i w:val="0"/>
          <w:caps w:val="0"/>
          <w:color w:val="000000"/>
          <w:spacing w:val="0"/>
          <w:sz w:val="32"/>
          <w:szCs w:val="32"/>
          <w:shd w:val="clear" w:color="auto" w:fill="FFFFFF"/>
        </w:rPr>
        <w:t>日</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75"/>
        <w:gridCol w:w="2737"/>
        <w:gridCol w:w="758"/>
        <w:gridCol w:w="3592"/>
        <w:gridCol w:w="9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restart"/>
            <w:tcBorders>
              <w:top w:val="single" w:color="auto" w:sz="8" w:space="0"/>
              <w:left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黑体" w:hAnsi="宋体" w:eastAsia="黑体" w:cs="黑体"/>
                <w:color w:val="000000"/>
                <w:sz w:val="28"/>
                <w:szCs w:val="28"/>
              </w:rPr>
              <w:t>企业自查情况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273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经营环节排查隐患数量（个）</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经营环节隐患完成整改数量（个）</w:t>
            </w:r>
          </w:p>
        </w:tc>
        <w:tc>
          <w:tcPr>
            <w:tcW w:w="945" w:type="dxa"/>
            <w:tcBorders>
              <w:top w:val="single" w:color="auto" w:sz="8" w:space="0"/>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输送配送环节排查隐患数量（个）</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输送配送环节隐患完成整改数量（个）</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使用环节排查隐患数量（个）</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使用环节隐患完成整改数量（个）</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lang w:eastAsia="zh-CN"/>
              </w:rPr>
              <w:t>管道</w:t>
            </w:r>
            <w:r>
              <w:rPr>
                <w:rFonts w:hint="eastAsia" w:ascii="仿宋" w:hAnsi="仿宋" w:eastAsia="仿宋" w:cs="仿宋"/>
                <w:color w:val="000000"/>
                <w:sz w:val="28"/>
                <w:szCs w:val="28"/>
              </w:rPr>
              <w:t>燃气商业用户数量（户）</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lang w:eastAsia="zh-CN"/>
              </w:rPr>
              <w:t>管道</w:t>
            </w:r>
            <w:r>
              <w:rPr>
                <w:rFonts w:hint="eastAsia" w:ascii="仿宋" w:hAnsi="仿宋" w:eastAsia="仿宋" w:cs="仿宋"/>
                <w:color w:val="000000"/>
                <w:sz w:val="28"/>
                <w:szCs w:val="28"/>
              </w:rPr>
              <w:t>燃气企业入户安检的商业用户数量（户）</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液化石油气</w:t>
            </w:r>
            <w:r>
              <w:rPr>
                <w:rFonts w:hint="eastAsia" w:ascii="仿宋" w:hAnsi="仿宋" w:eastAsia="仿宋" w:cs="仿宋"/>
                <w:color w:val="000000"/>
                <w:sz w:val="28"/>
                <w:szCs w:val="28"/>
              </w:rPr>
              <w:t>商业用户数量（户）</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32"/>
                <w:szCs w:val="32"/>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sz w:val="28"/>
                <w:szCs w:val="28"/>
                <w:lang w:eastAsia="zh-CN"/>
              </w:rPr>
              <w:t>液化石油气</w:t>
            </w:r>
            <w:r>
              <w:rPr>
                <w:rFonts w:hint="eastAsia" w:ascii="仿宋" w:hAnsi="仿宋" w:eastAsia="仿宋" w:cs="仿宋"/>
                <w:color w:val="000000"/>
                <w:sz w:val="28"/>
                <w:szCs w:val="28"/>
              </w:rPr>
              <w:t>企业入户安检的商业用户数量（户）</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28"/>
                <w:szCs w:val="2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28"/>
                <w:szCs w:val="2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28"/>
                <w:szCs w:val="2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sans-serif" w:hAnsi="sans-serif" w:cs="sans-serif"/>
                <w:color w:val="000000"/>
                <w:sz w:val="28"/>
                <w:szCs w:val="2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黑体" w:hAnsi="宋体" w:eastAsia="黑体" w:cs="黑体"/>
                <w:color w:val="000000"/>
                <w:sz w:val="28"/>
                <w:szCs w:val="28"/>
              </w:rPr>
              <w:t>执法处罚情况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燃气安全执法检查次数（次）</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燃气安全执法检查处罚次数（次）</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执法检查处罚金额（万元）</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吊销、取缔企业不符合市场准入条件（家）</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查处使用不合格或不执法符合气源要求的燃气具（家）</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查处餐饮经营场所未安装燃气报警器</w:t>
            </w:r>
            <w:r>
              <w:rPr>
                <w:rFonts w:hint="eastAsia" w:ascii="仿宋" w:hAnsi="仿宋" w:eastAsia="仿宋" w:cs="仿宋"/>
                <w:color w:val="000000"/>
                <w:sz w:val="28"/>
                <w:szCs w:val="28"/>
                <w:lang w:eastAsia="zh-CN"/>
              </w:rPr>
              <w:t>等安全装置</w:t>
            </w:r>
            <w:r>
              <w:rPr>
                <w:rFonts w:hint="eastAsia" w:ascii="仿宋" w:hAnsi="仿宋" w:eastAsia="仿宋" w:cs="仿宋"/>
                <w:color w:val="000000"/>
                <w:sz w:val="28"/>
                <w:szCs w:val="28"/>
              </w:rPr>
              <w:t>（家）</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查处不按规定加臭的企业（家）</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查处未制定燃气管道保护方案违规施工的施工企业（家）</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打击违规供应非法气源的企业数量（家）</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查处生产销售伪劣燃气具和燃气报警器的金额（万元）</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875"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黑体" w:hAnsi="宋体" w:eastAsia="黑体" w:cs="黑体"/>
                <w:color w:val="000000"/>
                <w:sz w:val="28"/>
                <w:szCs w:val="28"/>
              </w:rPr>
              <w:t>督促指导情况</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lang w:eastAsia="zh-CN"/>
              </w:rPr>
              <w:t>市</w:t>
            </w:r>
            <w:r>
              <w:rPr>
                <w:rFonts w:hint="eastAsia" w:ascii="仿宋" w:hAnsi="仿宋" w:eastAsia="仿宋" w:cs="仿宋"/>
                <w:color w:val="000000"/>
                <w:sz w:val="28"/>
                <w:szCs w:val="28"/>
              </w:rPr>
              <w:t>级督导检查（次）</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lang w:eastAsia="zh-CN"/>
              </w:rPr>
              <w:t>县</w:t>
            </w:r>
            <w:r>
              <w:rPr>
                <w:rFonts w:hint="eastAsia" w:ascii="仿宋" w:hAnsi="仿宋" w:eastAsia="仿宋" w:cs="仿宋"/>
                <w:color w:val="000000"/>
                <w:sz w:val="28"/>
                <w:szCs w:val="28"/>
              </w:rPr>
              <w:t>级督导检查（次）</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通报次数（次）</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约谈次数（次）</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75"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黑体" w:hAnsi="宋体" w:eastAsia="黑体" w:cs="黑体"/>
                <w:color w:val="000000"/>
                <w:sz w:val="28"/>
                <w:szCs w:val="28"/>
              </w:rPr>
              <w:t>宣传情况</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安全宣传数量（次）</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c>
          <w:tcPr>
            <w:tcW w:w="3592"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eastAsia" w:ascii="仿宋" w:hAnsi="仿宋" w:eastAsia="仿宋" w:cs="仿宋"/>
                <w:color w:val="000000"/>
                <w:sz w:val="28"/>
                <w:szCs w:val="28"/>
              </w:rPr>
              <w:t>警示教育次数（次）</w:t>
            </w:r>
          </w:p>
        </w:tc>
        <w:tc>
          <w:tcPr>
            <w:tcW w:w="945" w:type="dxa"/>
            <w:tcBorders>
              <w:top w:val="nil"/>
              <w:left w:val="nil"/>
              <w:bottom w:val="single" w:color="auto" w:sz="8" w:space="0"/>
              <w:right w:val="single" w:color="auto" w:sz="8" w:space="0"/>
            </w:tcBorders>
            <w:noWrap w:val="0"/>
            <w:tcMar>
              <w:left w:w="108"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仿宋" w:hAnsi="仿宋" w:eastAsia="仿宋" w:cs="仿宋"/>
          <w:spacing w:val="-21"/>
          <w:sz w:val="32"/>
          <w:szCs w:val="32"/>
        </w:rPr>
        <w:sectPr>
          <w:pgSz w:w="11940" w:h="17020"/>
          <w:pgMar w:top="1786" w:right="1553" w:bottom="1553" w:left="1565" w:header="0" w:footer="1684" w:gutter="0"/>
          <w:cols w:space="720" w:num="1"/>
        </w:sectPr>
      </w:pPr>
    </w:p>
    <w:p>
      <w:pPr>
        <w:spacing w:before="95" w:line="219" w:lineRule="auto"/>
        <w:rPr>
          <w:rFonts w:hint="eastAsia" w:ascii="宋体" w:hAnsi="宋体" w:eastAsia="宋体" w:cs="宋体"/>
          <w:b/>
          <w:bCs/>
          <w:sz w:val="32"/>
          <w:szCs w:val="32"/>
          <w:lang w:eastAsia="zh-CN"/>
        </w:rPr>
      </w:pPr>
      <w:r>
        <w:rPr>
          <w:rFonts w:ascii="宋体" w:hAnsi="宋体" w:eastAsia="宋体" w:cs="宋体"/>
          <w:b/>
          <w:bCs/>
          <w:spacing w:val="-17"/>
          <w:sz w:val="32"/>
          <w:szCs w:val="32"/>
        </w:rPr>
        <w:t>附</w:t>
      </w:r>
      <w:r>
        <w:rPr>
          <w:rFonts w:ascii="宋体" w:hAnsi="宋体" w:eastAsia="宋体" w:cs="宋体"/>
          <w:b/>
          <w:bCs/>
          <w:spacing w:val="-13"/>
          <w:sz w:val="32"/>
          <w:szCs w:val="32"/>
        </w:rPr>
        <w:t xml:space="preserve">件 </w:t>
      </w:r>
      <w:r>
        <w:rPr>
          <w:rFonts w:hint="eastAsia" w:ascii="宋体" w:hAnsi="宋体" w:eastAsia="宋体" w:cs="宋体"/>
          <w:b/>
          <w:bCs/>
          <w:spacing w:val="-13"/>
          <w:sz w:val="32"/>
          <w:szCs w:val="32"/>
          <w:lang w:val="en-US" w:eastAsia="zh-CN"/>
        </w:rPr>
        <w:t>2</w:t>
      </w:r>
    </w:p>
    <w:p>
      <w:pPr>
        <w:spacing w:line="287" w:lineRule="auto"/>
        <w:rPr>
          <w:rFonts w:ascii="Arial"/>
          <w:sz w:val="21"/>
        </w:rPr>
      </w:pPr>
    </w:p>
    <w:p>
      <w:pPr>
        <w:spacing w:line="288" w:lineRule="auto"/>
        <w:rPr>
          <w:rFonts w:ascii="Arial"/>
          <w:sz w:val="21"/>
        </w:rPr>
      </w:pPr>
    </w:p>
    <w:p>
      <w:pPr>
        <w:spacing w:before="143" w:line="219" w:lineRule="auto"/>
        <w:ind w:left="2736"/>
        <w:rPr>
          <w:rFonts w:ascii="宋体" w:hAnsi="宋体" w:eastAsia="宋体" w:cs="宋体"/>
          <w:sz w:val="44"/>
          <w:szCs w:val="44"/>
        </w:rPr>
      </w:pPr>
      <w:r>
        <w:rPr>
          <w:rFonts w:hint="eastAsia" w:ascii="宋体" w:hAnsi="宋体" w:cs="宋体"/>
          <w:spacing w:val="-9"/>
          <w:sz w:val="44"/>
          <w:szCs w:val="44"/>
          <w:lang w:val="en-US" w:eastAsia="zh-CN"/>
        </w:rPr>
        <w:t>湛河区</w:t>
      </w:r>
      <w:r>
        <w:rPr>
          <w:rFonts w:ascii="宋体" w:hAnsi="宋体" w:eastAsia="宋体" w:cs="宋体"/>
          <w:spacing w:val="-9"/>
          <w:sz w:val="44"/>
          <w:szCs w:val="44"/>
        </w:rPr>
        <w:t>城镇燃气安全排查整治重点工作进度表</w:t>
      </w:r>
    </w:p>
    <w:p/>
    <w:p/>
    <w:p>
      <w:pPr>
        <w:spacing w:line="194" w:lineRule="exact"/>
      </w:pPr>
    </w:p>
    <w:p>
      <w:pPr>
        <w:sectPr>
          <w:footerReference r:id="rId3" w:type="default"/>
          <w:pgSz w:w="17000" w:h="11940"/>
          <w:pgMar w:top="1808" w:right="1497" w:bottom="1502" w:left="1542" w:header="0" w:footer="889" w:gutter="0"/>
          <w:cols w:space="720" w:num="1"/>
        </w:sectPr>
      </w:pPr>
    </w:p>
    <w:p>
      <w:pPr>
        <w:spacing w:before="80" w:line="184" w:lineRule="auto"/>
        <w:rPr>
          <w:rFonts w:ascii="宋体" w:hAnsi="宋体" w:eastAsia="宋体" w:cs="宋体"/>
          <w:sz w:val="29"/>
          <w:szCs w:val="29"/>
        </w:rPr>
      </w:pPr>
      <w:r>
        <w:rPr>
          <w:rFonts w:ascii="宋体" w:hAnsi="宋体" w:eastAsia="宋体" w:cs="宋体"/>
          <w:spacing w:val="0"/>
          <w:sz w:val="29"/>
          <w:szCs w:val="29"/>
        </w:rPr>
        <w:t>填报单位：</w:t>
      </w:r>
      <w:r>
        <w:rPr>
          <w:rFonts w:ascii="宋体" w:hAnsi="宋体" w:eastAsia="宋体" w:cs="宋体"/>
          <w:sz w:val="29"/>
          <w:szCs w:val="29"/>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58" w:line="197" w:lineRule="auto"/>
        <w:rPr>
          <w:rFonts w:ascii="宋体" w:hAnsi="宋体" w:eastAsia="宋体" w:cs="宋体"/>
          <w:sz w:val="29"/>
          <w:szCs w:val="29"/>
        </w:rPr>
      </w:pPr>
      <w:r>
        <w:rPr>
          <w:rFonts w:ascii="宋体" w:hAnsi="宋体" w:eastAsia="宋体" w:cs="宋体"/>
          <w:spacing w:val="-1"/>
          <w:sz w:val="29"/>
          <w:szCs w:val="29"/>
        </w:rPr>
        <w:t xml:space="preserve">填报日期： </w:t>
      </w:r>
      <w:r>
        <w:rPr>
          <w:rFonts w:ascii="宋体" w:hAnsi="宋体" w:eastAsia="宋体" w:cs="宋体"/>
          <w:sz w:val="29"/>
          <w:szCs w:val="29"/>
        </w:rPr>
        <w:t xml:space="preserve">   年  月   日</w:t>
      </w:r>
    </w:p>
    <w:p>
      <w:pPr>
        <w:sectPr>
          <w:type w:val="continuous"/>
          <w:pgSz w:w="17000" w:h="11940"/>
          <w:pgMar w:top="1014" w:right="1835" w:bottom="1332" w:left="1770" w:header="0" w:footer="889" w:gutter="0"/>
          <w:cols w:equalWidth="0" w:num="2">
            <w:col w:w="9590" w:space="100"/>
            <w:col w:w="3705"/>
          </w:cols>
        </w:sectPr>
      </w:pPr>
    </w:p>
    <w:p>
      <w:pPr>
        <w:spacing w:line="103" w:lineRule="exact"/>
      </w:pPr>
    </w:p>
    <w:tbl>
      <w:tblPr>
        <w:tblStyle w:val="13"/>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850"/>
        <w:gridCol w:w="833"/>
        <w:gridCol w:w="801"/>
        <w:gridCol w:w="849"/>
        <w:gridCol w:w="767"/>
        <w:gridCol w:w="983"/>
        <w:gridCol w:w="887"/>
        <w:gridCol w:w="830"/>
        <w:gridCol w:w="1109"/>
        <w:gridCol w:w="789"/>
        <w:gridCol w:w="879"/>
        <w:gridCol w:w="1079"/>
        <w:gridCol w:w="944"/>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933" w:type="dxa"/>
            <w:gridSpan w:val="3"/>
            <w:tcBorders>
              <w:top w:val="single" w:color="000000" w:sz="2" w:space="0"/>
              <w:bottom w:val="single" w:color="000000" w:sz="2" w:space="0"/>
            </w:tcBorders>
            <w:noWrap w:val="0"/>
            <w:vAlign w:val="top"/>
          </w:tcPr>
          <w:p>
            <w:pPr>
              <w:spacing w:before="228" w:line="219" w:lineRule="auto"/>
              <w:ind w:left="255"/>
              <w:rPr>
                <w:rFonts w:ascii="宋体" w:hAnsi="宋体" w:eastAsia="宋体" w:cs="宋体"/>
                <w:sz w:val="20"/>
                <w:szCs w:val="20"/>
              </w:rPr>
            </w:pPr>
            <w:r>
              <w:rPr>
                <w:rFonts w:ascii="宋体" w:hAnsi="宋体" w:eastAsia="宋体" w:cs="宋体"/>
                <w:spacing w:val="2"/>
                <w:sz w:val="20"/>
                <w:szCs w:val="20"/>
              </w:rPr>
              <w:t>安</w:t>
            </w:r>
            <w:r>
              <w:rPr>
                <w:rFonts w:ascii="宋体" w:hAnsi="宋体" w:eastAsia="宋体" w:cs="宋体"/>
                <w:spacing w:val="1"/>
                <w:sz w:val="20"/>
                <w:szCs w:val="20"/>
              </w:rPr>
              <w:t>全隐患排查整改进度</w:t>
            </w:r>
          </w:p>
        </w:tc>
        <w:tc>
          <w:tcPr>
            <w:tcW w:w="2417" w:type="dxa"/>
            <w:gridSpan w:val="3"/>
            <w:tcBorders>
              <w:top w:val="single" w:color="000000" w:sz="2" w:space="0"/>
              <w:bottom w:val="single" w:color="000000" w:sz="2" w:space="0"/>
            </w:tcBorders>
            <w:noWrap w:val="0"/>
            <w:vAlign w:val="top"/>
          </w:tcPr>
          <w:p>
            <w:pPr>
              <w:spacing w:before="228" w:line="219" w:lineRule="auto"/>
              <w:ind w:left="312"/>
              <w:rPr>
                <w:rFonts w:ascii="宋体" w:hAnsi="宋体" w:eastAsia="宋体" w:cs="宋体"/>
                <w:sz w:val="20"/>
                <w:szCs w:val="20"/>
              </w:rPr>
            </w:pPr>
            <w:r>
              <w:rPr>
                <w:rFonts w:ascii="宋体" w:hAnsi="宋体" w:eastAsia="宋体" w:cs="宋体"/>
                <w:spacing w:val="2"/>
                <w:sz w:val="20"/>
                <w:szCs w:val="20"/>
              </w:rPr>
              <w:t>管道占</w:t>
            </w:r>
            <w:r>
              <w:rPr>
                <w:rFonts w:ascii="宋体" w:hAnsi="宋体" w:eastAsia="宋体" w:cs="宋体"/>
                <w:spacing w:val="1"/>
                <w:sz w:val="20"/>
                <w:szCs w:val="20"/>
              </w:rPr>
              <w:t>压整改进度</w:t>
            </w:r>
          </w:p>
        </w:tc>
        <w:tc>
          <w:tcPr>
            <w:tcW w:w="2700" w:type="dxa"/>
            <w:gridSpan w:val="3"/>
            <w:tcBorders>
              <w:top w:val="single" w:color="000000" w:sz="2" w:space="0"/>
              <w:bottom w:val="single" w:color="000000" w:sz="2" w:space="0"/>
            </w:tcBorders>
            <w:noWrap w:val="0"/>
            <w:vAlign w:val="top"/>
          </w:tcPr>
          <w:p>
            <w:pPr>
              <w:spacing w:before="228" w:line="219" w:lineRule="auto"/>
              <w:ind w:left="334"/>
              <w:rPr>
                <w:rFonts w:ascii="宋体" w:hAnsi="宋体" w:eastAsia="宋体" w:cs="宋体"/>
                <w:sz w:val="20"/>
                <w:szCs w:val="20"/>
              </w:rPr>
            </w:pPr>
            <w:r>
              <w:rPr>
                <w:rFonts w:ascii="宋体" w:hAnsi="宋体" w:eastAsia="宋体" w:cs="宋体"/>
                <w:spacing w:val="2"/>
                <w:sz w:val="20"/>
                <w:szCs w:val="20"/>
              </w:rPr>
              <w:t>灰</w:t>
            </w:r>
            <w:r>
              <w:rPr>
                <w:rFonts w:ascii="宋体" w:hAnsi="宋体" w:eastAsia="宋体" w:cs="宋体"/>
                <w:spacing w:val="1"/>
                <w:sz w:val="20"/>
                <w:szCs w:val="20"/>
              </w:rPr>
              <w:t>口铸铁管道改造进度</w:t>
            </w:r>
          </w:p>
        </w:tc>
        <w:tc>
          <w:tcPr>
            <w:tcW w:w="2777" w:type="dxa"/>
            <w:gridSpan w:val="3"/>
            <w:tcBorders>
              <w:top w:val="single" w:color="000000" w:sz="2" w:space="0"/>
              <w:bottom w:val="single" w:color="000000" w:sz="2" w:space="0"/>
            </w:tcBorders>
            <w:noWrap w:val="0"/>
            <w:vAlign w:val="top"/>
          </w:tcPr>
          <w:p>
            <w:pPr>
              <w:spacing w:before="228" w:line="219" w:lineRule="auto"/>
              <w:ind w:left="256"/>
              <w:rPr>
                <w:rFonts w:ascii="宋体" w:hAnsi="宋体" w:eastAsia="宋体" w:cs="宋体"/>
                <w:sz w:val="20"/>
                <w:szCs w:val="20"/>
              </w:rPr>
            </w:pPr>
            <w:r>
              <w:rPr>
                <w:rFonts w:ascii="宋体" w:hAnsi="宋体" w:eastAsia="宋体" w:cs="宋体"/>
                <w:spacing w:val="1"/>
                <w:sz w:val="20"/>
                <w:szCs w:val="20"/>
              </w:rPr>
              <w:t>30年以上老旧管道改造</w:t>
            </w:r>
            <w:r>
              <w:rPr>
                <w:rFonts w:ascii="宋体" w:hAnsi="宋体" w:eastAsia="宋体" w:cs="宋体"/>
                <w:sz w:val="20"/>
                <w:szCs w:val="20"/>
              </w:rPr>
              <w:t>进度</w:t>
            </w:r>
          </w:p>
        </w:tc>
        <w:tc>
          <w:tcPr>
            <w:tcW w:w="3106" w:type="dxa"/>
            <w:gridSpan w:val="3"/>
            <w:tcBorders>
              <w:top w:val="single" w:color="000000" w:sz="2" w:space="0"/>
              <w:bottom w:val="single" w:color="000000" w:sz="2" w:space="0"/>
            </w:tcBorders>
            <w:noWrap w:val="0"/>
            <w:vAlign w:val="top"/>
          </w:tcPr>
          <w:p>
            <w:pPr>
              <w:spacing w:before="106" w:line="244" w:lineRule="auto"/>
              <w:ind w:left="508" w:right="192" w:hanging="299"/>
              <w:rPr>
                <w:rFonts w:hint="eastAsia" w:ascii="宋体" w:hAnsi="宋体" w:eastAsia="宋体" w:cs="宋体"/>
                <w:sz w:val="20"/>
                <w:szCs w:val="20"/>
                <w:lang w:eastAsia="zh-CN"/>
              </w:rPr>
            </w:pPr>
            <w:r>
              <w:rPr>
                <w:rFonts w:ascii="宋体" w:hAnsi="宋体" w:eastAsia="宋体" w:cs="宋体"/>
                <w:spacing w:val="1"/>
                <w:sz w:val="20"/>
                <w:szCs w:val="20"/>
              </w:rPr>
              <w:t>餐饮企业安全装置加装进</w:t>
            </w:r>
            <w:r>
              <w:rPr>
                <w:rFonts w:ascii="宋体" w:hAnsi="宋体" w:eastAsia="宋体" w:cs="宋体"/>
                <w:sz w:val="20"/>
                <w:szCs w:val="20"/>
              </w:rPr>
              <w:t xml:space="preserve">度 </w:t>
            </w:r>
            <w:r>
              <w:rPr>
                <w:rFonts w:ascii="宋体" w:hAnsi="宋体" w:eastAsia="宋体" w:cs="宋体"/>
                <w:spacing w:val="-27"/>
                <w:sz w:val="20"/>
                <w:szCs w:val="20"/>
              </w:rPr>
              <w:t>(</w:t>
            </w:r>
            <w:r>
              <w:rPr>
                <w:rFonts w:ascii="宋体" w:hAnsi="宋体" w:eastAsia="宋体" w:cs="宋体"/>
                <w:spacing w:val="-26"/>
                <w:sz w:val="20"/>
                <w:szCs w:val="20"/>
              </w:rPr>
              <w:t xml:space="preserve"> </w:t>
            </w:r>
            <w:r>
              <w:rPr>
                <w:rFonts w:hint="eastAsia" w:ascii="宋体" w:hAnsi="宋体" w:cs="宋体"/>
                <w:spacing w:val="-26"/>
                <w:sz w:val="20"/>
                <w:szCs w:val="20"/>
                <w:lang w:val="en-US" w:eastAsia="zh-CN"/>
              </w:rPr>
              <w:t>报警器及切断装置</w:t>
            </w:r>
            <w:r>
              <w:rPr>
                <w:rFonts w:hint="eastAsia" w:ascii="宋体" w:hAnsi="宋体" w:eastAsia="宋体" w:cs="宋体"/>
                <w:spacing w:val="-2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1250" w:type="dxa"/>
            <w:tcBorders>
              <w:top w:val="single" w:color="000000" w:sz="2" w:space="0"/>
              <w:bottom w:val="single" w:color="000000" w:sz="2" w:space="0"/>
            </w:tcBorders>
            <w:noWrap w:val="0"/>
            <w:vAlign w:val="top"/>
          </w:tcPr>
          <w:p>
            <w:pPr>
              <w:spacing w:before="304" w:line="291" w:lineRule="exact"/>
              <w:ind w:left="295"/>
              <w:rPr>
                <w:rFonts w:ascii="宋体" w:hAnsi="宋体" w:eastAsia="宋体" w:cs="宋体"/>
                <w:sz w:val="20"/>
                <w:szCs w:val="20"/>
              </w:rPr>
            </w:pPr>
            <w:r>
              <w:rPr>
                <w:rFonts w:ascii="宋体" w:hAnsi="宋体" w:eastAsia="宋体" w:cs="宋体"/>
                <w:spacing w:val="-4"/>
                <w:position w:val="6"/>
                <w:sz w:val="20"/>
                <w:szCs w:val="20"/>
              </w:rPr>
              <w:t>发</w:t>
            </w:r>
            <w:r>
              <w:rPr>
                <w:rFonts w:ascii="宋体" w:hAnsi="宋体" w:eastAsia="宋体" w:cs="宋体"/>
                <w:spacing w:val="-2"/>
                <w:position w:val="6"/>
                <w:sz w:val="20"/>
                <w:szCs w:val="20"/>
              </w:rPr>
              <w:t>现</w:t>
            </w:r>
          </w:p>
          <w:p>
            <w:pPr>
              <w:spacing w:line="220" w:lineRule="auto"/>
              <w:ind w:left="295"/>
              <w:rPr>
                <w:rFonts w:ascii="宋体" w:hAnsi="宋体" w:eastAsia="宋体" w:cs="宋体"/>
                <w:sz w:val="20"/>
                <w:szCs w:val="20"/>
              </w:rPr>
            </w:pPr>
            <w:r>
              <w:rPr>
                <w:rFonts w:ascii="宋体" w:hAnsi="宋体" w:eastAsia="宋体" w:cs="宋体"/>
                <w:spacing w:val="5"/>
                <w:sz w:val="20"/>
                <w:szCs w:val="20"/>
              </w:rPr>
              <w:t>安</w:t>
            </w:r>
            <w:r>
              <w:rPr>
                <w:rFonts w:ascii="宋体" w:hAnsi="宋体" w:eastAsia="宋体" w:cs="宋体"/>
                <w:spacing w:val="4"/>
                <w:sz w:val="20"/>
                <w:szCs w:val="20"/>
              </w:rPr>
              <w:t>全</w:t>
            </w:r>
          </w:p>
          <w:p>
            <w:pPr>
              <w:spacing w:before="43" w:line="223" w:lineRule="auto"/>
              <w:ind w:left="295"/>
              <w:rPr>
                <w:rFonts w:ascii="宋体" w:hAnsi="宋体" w:eastAsia="宋体" w:cs="宋体"/>
                <w:sz w:val="20"/>
                <w:szCs w:val="20"/>
              </w:rPr>
            </w:pPr>
            <w:r>
              <w:rPr>
                <w:rFonts w:ascii="宋体" w:hAnsi="宋体" w:eastAsia="宋体" w:cs="宋体"/>
                <w:spacing w:val="10"/>
                <w:sz w:val="20"/>
                <w:szCs w:val="20"/>
              </w:rPr>
              <w:t>隐患</w:t>
            </w:r>
          </w:p>
          <w:p>
            <w:pPr>
              <w:spacing w:before="57" w:line="222" w:lineRule="auto"/>
              <w:ind w:left="295"/>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4"/>
                <w:sz w:val="20"/>
                <w:szCs w:val="20"/>
              </w:rPr>
              <w:t>处)</w:t>
            </w:r>
          </w:p>
        </w:tc>
        <w:tc>
          <w:tcPr>
            <w:tcW w:w="850" w:type="dxa"/>
            <w:tcBorders>
              <w:top w:val="single" w:color="000000" w:sz="2" w:space="0"/>
              <w:bottom w:val="single" w:color="000000" w:sz="2" w:space="0"/>
            </w:tcBorders>
            <w:noWrap w:val="0"/>
            <w:vAlign w:val="top"/>
          </w:tcPr>
          <w:p>
            <w:pPr>
              <w:spacing w:line="376" w:lineRule="auto"/>
              <w:rPr>
                <w:rFonts w:ascii="Arial"/>
                <w:sz w:val="21"/>
              </w:rPr>
            </w:pPr>
          </w:p>
          <w:p>
            <w:pPr>
              <w:spacing w:before="65" w:line="288" w:lineRule="auto"/>
              <w:ind w:left="141" w:right="114"/>
              <w:rPr>
                <w:rFonts w:ascii="宋体" w:hAnsi="宋体" w:eastAsia="宋体" w:cs="宋体"/>
                <w:sz w:val="20"/>
                <w:szCs w:val="20"/>
              </w:rPr>
            </w:pPr>
            <w:r>
              <w:rPr>
                <w:rFonts w:ascii="宋体" w:hAnsi="宋体" w:eastAsia="宋体" w:cs="宋体"/>
                <w:spacing w:val="-6"/>
                <w:sz w:val="20"/>
                <w:szCs w:val="20"/>
              </w:rPr>
              <w:t>完</w:t>
            </w:r>
            <w:r>
              <w:rPr>
                <w:rFonts w:ascii="宋体" w:hAnsi="宋体" w:eastAsia="宋体" w:cs="宋体"/>
                <w:spacing w:val="-4"/>
                <w:sz w:val="20"/>
                <w:szCs w:val="20"/>
              </w:rPr>
              <w:t>成</w:t>
            </w:r>
            <w:r>
              <w:rPr>
                <w:rFonts w:ascii="宋体" w:hAnsi="宋体" w:eastAsia="宋体" w:cs="宋体"/>
                <w:sz w:val="20"/>
                <w:szCs w:val="20"/>
              </w:rPr>
              <w:t xml:space="preserve"> </w:t>
            </w:r>
            <w:r>
              <w:rPr>
                <w:rFonts w:ascii="宋体" w:hAnsi="宋体" w:eastAsia="宋体" w:cs="宋体"/>
                <w:spacing w:val="-5"/>
                <w:sz w:val="20"/>
                <w:szCs w:val="20"/>
              </w:rPr>
              <w:t>整</w:t>
            </w:r>
            <w:r>
              <w:rPr>
                <w:rFonts w:ascii="宋体" w:hAnsi="宋体" w:eastAsia="宋体" w:cs="宋体"/>
                <w:spacing w:val="-4"/>
                <w:sz w:val="20"/>
                <w:szCs w:val="20"/>
              </w:rPr>
              <w:t>改</w:t>
            </w:r>
            <w:r>
              <w:rPr>
                <w:rFonts w:ascii="宋体" w:hAnsi="宋体" w:eastAsia="宋体" w:cs="宋体"/>
                <w:sz w:val="20"/>
                <w:szCs w:val="20"/>
              </w:rPr>
              <w:t xml:space="preserve"> </w:t>
            </w:r>
            <w:r>
              <w:rPr>
                <w:rFonts w:ascii="宋体" w:hAnsi="宋体" w:eastAsia="宋体" w:cs="宋体"/>
                <w:spacing w:val="15"/>
                <w:sz w:val="20"/>
                <w:szCs w:val="20"/>
              </w:rPr>
              <w:t>(</w:t>
            </w:r>
            <w:r>
              <w:rPr>
                <w:rFonts w:ascii="宋体" w:hAnsi="宋体" w:eastAsia="宋体" w:cs="宋体"/>
                <w:spacing w:val="14"/>
                <w:sz w:val="20"/>
                <w:szCs w:val="20"/>
              </w:rPr>
              <w:t>处)</w:t>
            </w:r>
          </w:p>
        </w:tc>
        <w:tc>
          <w:tcPr>
            <w:tcW w:w="833" w:type="dxa"/>
            <w:tcBorders>
              <w:top w:val="single" w:color="000000" w:sz="2" w:space="0"/>
              <w:bottom w:val="single" w:color="000000" w:sz="2" w:space="0"/>
            </w:tcBorders>
            <w:noWrap w:val="0"/>
            <w:vAlign w:val="top"/>
          </w:tcPr>
          <w:p>
            <w:pPr>
              <w:spacing w:line="332" w:lineRule="auto"/>
              <w:rPr>
                <w:rFonts w:ascii="Arial"/>
                <w:sz w:val="21"/>
              </w:rPr>
            </w:pPr>
          </w:p>
          <w:p>
            <w:pPr>
              <w:spacing w:line="333" w:lineRule="auto"/>
              <w:rPr>
                <w:rFonts w:ascii="Arial"/>
                <w:sz w:val="21"/>
              </w:rPr>
            </w:pPr>
          </w:p>
          <w:p>
            <w:pPr>
              <w:spacing w:before="65" w:line="219" w:lineRule="auto"/>
              <w:ind w:left="91"/>
              <w:rPr>
                <w:rFonts w:ascii="宋体" w:hAnsi="宋体" w:eastAsia="宋体" w:cs="宋体"/>
                <w:sz w:val="20"/>
                <w:szCs w:val="20"/>
              </w:rPr>
            </w:pPr>
            <w:r>
              <w:rPr>
                <w:rFonts w:ascii="宋体" w:hAnsi="宋体" w:eastAsia="宋体" w:cs="宋体"/>
                <w:spacing w:val="-2"/>
                <w:sz w:val="20"/>
                <w:szCs w:val="20"/>
              </w:rPr>
              <w:t>整改率</w:t>
            </w:r>
          </w:p>
        </w:tc>
        <w:tc>
          <w:tcPr>
            <w:tcW w:w="801" w:type="dxa"/>
            <w:tcBorders>
              <w:top w:val="single" w:color="000000" w:sz="2" w:space="0"/>
              <w:bottom w:val="single" w:color="000000" w:sz="2" w:space="0"/>
            </w:tcBorders>
            <w:noWrap w:val="0"/>
            <w:vAlign w:val="top"/>
          </w:tcPr>
          <w:p>
            <w:pPr>
              <w:spacing w:before="303" w:line="276" w:lineRule="auto"/>
              <w:ind w:left="162" w:right="134"/>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5"/>
                <w:sz w:val="20"/>
                <w:szCs w:val="20"/>
              </w:rPr>
              <w:t>现</w:t>
            </w:r>
            <w:r>
              <w:rPr>
                <w:rFonts w:ascii="宋体" w:hAnsi="宋体" w:eastAsia="宋体" w:cs="宋体"/>
                <w:sz w:val="20"/>
                <w:szCs w:val="20"/>
              </w:rPr>
              <w:t xml:space="preserve"> </w:t>
            </w:r>
            <w:r>
              <w:rPr>
                <w:rFonts w:ascii="宋体" w:hAnsi="宋体" w:eastAsia="宋体" w:cs="宋体"/>
                <w:spacing w:val="5"/>
                <w:sz w:val="20"/>
                <w:szCs w:val="20"/>
              </w:rPr>
              <w:t>安</w:t>
            </w:r>
            <w:r>
              <w:rPr>
                <w:rFonts w:ascii="宋体" w:hAnsi="宋体" w:eastAsia="宋体" w:cs="宋体"/>
                <w:spacing w:val="4"/>
                <w:sz w:val="20"/>
                <w:szCs w:val="20"/>
              </w:rPr>
              <w:t>全</w:t>
            </w:r>
            <w:r>
              <w:rPr>
                <w:rFonts w:ascii="宋体" w:hAnsi="宋体" w:eastAsia="宋体" w:cs="宋体"/>
                <w:sz w:val="20"/>
                <w:szCs w:val="20"/>
              </w:rPr>
              <w:t xml:space="preserve"> </w:t>
            </w:r>
            <w:r>
              <w:rPr>
                <w:rFonts w:ascii="宋体" w:hAnsi="宋体" w:eastAsia="宋体" w:cs="宋体"/>
                <w:spacing w:val="10"/>
                <w:sz w:val="20"/>
                <w:szCs w:val="20"/>
              </w:rPr>
              <w:t>隐患</w:t>
            </w:r>
            <w:r>
              <w:rPr>
                <w:rFonts w:ascii="宋体" w:hAnsi="宋体" w:eastAsia="宋体" w:cs="宋体"/>
                <w:sz w:val="20"/>
                <w:szCs w:val="20"/>
              </w:rPr>
              <w:t xml:space="preserve"> </w:t>
            </w:r>
            <w:r>
              <w:rPr>
                <w:rFonts w:ascii="宋体" w:hAnsi="宋体" w:eastAsia="宋体" w:cs="宋体"/>
                <w:spacing w:val="15"/>
                <w:sz w:val="20"/>
                <w:szCs w:val="20"/>
              </w:rPr>
              <w:t>(</w:t>
            </w:r>
            <w:r>
              <w:rPr>
                <w:rFonts w:ascii="宋体" w:hAnsi="宋体" w:eastAsia="宋体" w:cs="宋体"/>
                <w:spacing w:val="14"/>
                <w:sz w:val="20"/>
                <w:szCs w:val="20"/>
              </w:rPr>
              <w:t>处)</w:t>
            </w:r>
          </w:p>
        </w:tc>
        <w:tc>
          <w:tcPr>
            <w:tcW w:w="849" w:type="dxa"/>
            <w:tcBorders>
              <w:top w:val="single" w:color="000000" w:sz="2" w:space="0"/>
              <w:bottom w:val="single" w:color="000000" w:sz="2" w:space="0"/>
            </w:tcBorders>
            <w:noWrap w:val="0"/>
            <w:vAlign w:val="top"/>
          </w:tcPr>
          <w:p>
            <w:pPr>
              <w:spacing w:line="367" w:lineRule="auto"/>
              <w:rPr>
                <w:rFonts w:ascii="Arial"/>
                <w:sz w:val="21"/>
              </w:rPr>
            </w:pPr>
          </w:p>
          <w:p>
            <w:pPr>
              <w:spacing w:before="65" w:line="283" w:lineRule="auto"/>
              <w:ind w:left="152" w:right="113"/>
              <w:rPr>
                <w:rFonts w:ascii="宋体" w:hAnsi="宋体" w:eastAsia="宋体" w:cs="宋体"/>
                <w:sz w:val="20"/>
                <w:szCs w:val="20"/>
              </w:rPr>
            </w:pPr>
            <w:r>
              <w:rPr>
                <w:rFonts w:ascii="宋体" w:hAnsi="宋体" w:eastAsia="宋体" w:cs="宋体"/>
                <w:spacing w:val="-6"/>
                <w:sz w:val="20"/>
                <w:szCs w:val="20"/>
              </w:rPr>
              <w:t>完</w:t>
            </w:r>
            <w:r>
              <w:rPr>
                <w:rFonts w:ascii="宋体" w:hAnsi="宋体" w:eastAsia="宋体" w:cs="宋体"/>
                <w:spacing w:val="-4"/>
                <w:sz w:val="20"/>
                <w:szCs w:val="20"/>
              </w:rPr>
              <w:t>成</w:t>
            </w:r>
            <w:r>
              <w:rPr>
                <w:rFonts w:ascii="宋体" w:hAnsi="宋体" w:eastAsia="宋体" w:cs="宋体"/>
                <w:sz w:val="20"/>
                <w:szCs w:val="20"/>
              </w:rPr>
              <w:t xml:space="preserve"> </w:t>
            </w:r>
            <w:r>
              <w:rPr>
                <w:rFonts w:ascii="宋体" w:hAnsi="宋体" w:eastAsia="宋体" w:cs="宋体"/>
                <w:spacing w:val="-5"/>
                <w:sz w:val="20"/>
                <w:szCs w:val="20"/>
              </w:rPr>
              <w:t>整</w:t>
            </w:r>
            <w:r>
              <w:rPr>
                <w:rFonts w:ascii="宋体" w:hAnsi="宋体" w:eastAsia="宋体" w:cs="宋体"/>
                <w:spacing w:val="-4"/>
                <w:sz w:val="20"/>
                <w:szCs w:val="20"/>
              </w:rPr>
              <w:t>改</w:t>
            </w:r>
            <w:r>
              <w:rPr>
                <w:rFonts w:ascii="宋体" w:hAnsi="宋体" w:eastAsia="宋体" w:cs="宋体"/>
                <w:sz w:val="20"/>
                <w:szCs w:val="20"/>
              </w:rPr>
              <w:t xml:space="preserve"> </w:t>
            </w:r>
            <w:r>
              <w:rPr>
                <w:rFonts w:ascii="宋体" w:hAnsi="宋体" w:eastAsia="宋体" w:cs="宋体"/>
                <w:spacing w:val="15"/>
                <w:sz w:val="20"/>
                <w:szCs w:val="20"/>
              </w:rPr>
              <w:t>(</w:t>
            </w:r>
            <w:r>
              <w:rPr>
                <w:rFonts w:ascii="宋体" w:hAnsi="宋体" w:eastAsia="宋体" w:cs="宋体"/>
                <w:spacing w:val="14"/>
                <w:sz w:val="20"/>
                <w:szCs w:val="20"/>
              </w:rPr>
              <w:t>处)</w:t>
            </w:r>
          </w:p>
        </w:tc>
        <w:tc>
          <w:tcPr>
            <w:tcW w:w="767" w:type="dxa"/>
            <w:tcBorders>
              <w:top w:val="single" w:color="000000" w:sz="2" w:space="0"/>
              <w:bottom w:val="single" w:color="000000" w:sz="2" w:space="0"/>
            </w:tcBorders>
            <w:noWrap w:val="0"/>
            <w:vAlign w:val="top"/>
          </w:tcPr>
          <w:p>
            <w:pPr>
              <w:spacing w:line="332" w:lineRule="auto"/>
              <w:rPr>
                <w:rFonts w:ascii="Arial"/>
                <w:sz w:val="21"/>
              </w:rPr>
            </w:pPr>
          </w:p>
          <w:p>
            <w:pPr>
              <w:spacing w:line="333" w:lineRule="auto"/>
              <w:rPr>
                <w:rFonts w:ascii="Arial"/>
                <w:sz w:val="21"/>
              </w:rPr>
            </w:pPr>
          </w:p>
          <w:p>
            <w:pPr>
              <w:spacing w:before="65" w:line="219" w:lineRule="auto"/>
              <w:ind w:left="82"/>
              <w:rPr>
                <w:rFonts w:ascii="宋体" w:hAnsi="宋体" w:eastAsia="宋体" w:cs="宋体"/>
                <w:sz w:val="20"/>
                <w:szCs w:val="20"/>
              </w:rPr>
            </w:pPr>
            <w:r>
              <w:rPr>
                <w:rFonts w:ascii="宋体" w:hAnsi="宋体" w:eastAsia="宋体" w:cs="宋体"/>
                <w:spacing w:val="-2"/>
                <w:sz w:val="20"/>
                <w:szCs w:val="20"/>
              </w:rPr>
              <w:t>整改率</w:t>
            </w:r>
          </w:p>
        </w:tc>
        <w:tc>
          <w:tcPr>
            <w:tcW w:w="983" w:type="dxa"/>
            <w:tcBorders>
              <w:top w:val="single" w:color="000000" w:sz="2" w:space="0"/>
              <w:bottom w:val="single" w:color="000000" w:sz="2" w:space="0"/>
            </w:tcBorders>
            <w:noWrap w:val="0"/>
            <w:vAlign w:val="top"/>
          </w:tcPr>
          <w:p>
            <w:pPr>
              <w:spacing w:line="248" w:lineRule="auto"/>
              <w:rPr>
                <w:rFonts w:ascii="Arial"/>
                <w:sz w:val="21"/>
              </w:rPr>
            </w:pPr>
          </w:p>
          <w:p>
            <w:pPr>
              <w:spacing w:line="248" w:lineRule="auto"/>
              <w:rPr>
                <w:rFonts w:ascii="Arial"/>
                <w:sz w:val="21"/>
              </w:rPr>
            </w:pPr>
          </w:p>
          <w:p>
            <w:pPr>
              <w:spacing w:before="65" w:line="219" w:lineRule="auto"/>
              <w:ind w:left="194"/>
              <w:rPr>
                <w:rFonts w:ascii="宋体" w:hAnsi="宋体" w:eastAsia="宋体" w:cs="宋体"/>
                <w:sz w:val="20"/>
                <w:szCs w:val="20"/>
              </w:rPr>
            </w:pPr>
            <w:r>
              <w:rPr>
                <w:rFonts w:ascii="宋体" w:hAnsi="宋体" w:eastAsia="宋体" w:cs="宋体"/>
                <w:spacing w:val="-2"/>
                <w:sz w:val="20"/>
                <w:szCs w:val="20"/>
              </w:rPr>
              <w:t>计划</w:t>
            </w:r>
            <w:r>
              <w:rPr>
                <w:rFonts w:ascii="宋体" w:hAnsi="宋体" w:eastAsia="宋体" w:cs="宋体"/>
                <w:spacing w:val="-1"/>
                <w:sz w:val="20"/>
                <w:szCs w:val="20"/>
              </w:rPr>
              <w:t>改造</w:t>
            </w:r>
          </w:p>
          <w:p>
            <w:pPr>
              <w:spacing w:before="85" w:line="222" w:lineRule="auto"/>
              <w:ind w:left="394"/>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8"/>
                <w:sz w:val="20"/>
                <w:szCs w:val="20"/>
              </w:rPr>
              <w:t>km)</w:t>
            </w:r>
          </w:p>
        </w:tc>
        <w:tc>
          <w:tcPr>
            <w:tcW w:w="887" w:type="dxa"/>
            <w:tcBorders>
              <w:top w:val="single" w:color="000000" w:sz="2" w:space="0"/>
              <w:bottom w:val="single" w:color="000000" w:sz="2" w:space="0"/>
            </w:tcBorders>
            <w:noWrap w:val="0"/>
            <w:vAlign w:val="top"/>
          </w:tcPr>
          <w:p>
            <w:pPr>
              <w:spacing w:line="263" w:lineRule="auto"/>
              <w:rPr>
                <w:rFonts w:ascii="Arial"/>
                <w:sz w:val="21"/>
              </w:rPr>
            </w:pPr>
          </w:p>
          <w:p>
            <w:pPr>
              <w:spacing w:line="263" w:lineRule="auto"/>
              <w:rPr>
                <w:rFonts w:ascii="Arial"/>
                <w:sz w:val="21"/>
              </w:rPr>
            </w:pPr>
          </w:p>
          <w:p>
            <w:pPr>
              <w:spacing w:before="65" w:line="285" w:lineRule="auto"/>
              <w:ind w:left="184" w:right="86" w:hanging="100"/>
              <w:rPr>
                <w:rFonts w:ascii="宋体" w:hAnsi="宋体" w:eastAsia="宋体" w:cs="宋体"/>
                <w:sz w:val="20"/>
                <w:szCs w:val="20"/>
              </w:rPr>
            </w:pPr>
            <w:r>
              <w:rPr>
                <w:rFonts w:ascii="宋体" w:hAnsi="宋体" w:eastAsia="宋体" w:cs="宋体"/>
                <w:spacing w:val="3"/>
                <w:sz w:val="20"/>
                <w:szCs w:val="20"/>
              </w:rPr>
              <w:t>已</w:t>
            </w:r>
            <w:r>
              <w:rPr>
                <w:rFonts w:ascii="宋体" w:hAnsi="宋体" w:eastAsia="宋体" w:cs="宋体"/>
                <w:spacing w:val="2"/>
                <w:sz w:val="20"/>
                <w:szCs w:val="20"/>
              </w:rPr>
              <w:t>改造</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km)</w:t>
            </w:r>
          </w:p>
        </w:tc>
        <w:tc>
          <w:tcPr>
            <w:tcW w:w="830" w:type="dxa"/>
            <w:tcBorders>
              <w:top w:val="single" w:color="000000" w:sz="2" w:space="0"/>
              <w:bottom w:val="single" w:color="000000" w:sz="2" w:space="0"/>
            </w:tcBorders>
            <w:noWrap w:val="0"/>
            <w:vAlign w:val="top"/>
          </w:tcPr>
          <w:p>
            <w:pPr>
              <w:spacing w:line="377" w:lineRule="auto"/>
              <w:rPr>
                <w:rFonts w:ascii="Arial"/>
                <w:sz w:val="21"/>
              </w:rPr>
            </w:pPr>
          </w:p>
          <w:p>
            <w:pPr>
              <w:spacing w:before="65" w:line="219" w:lineRule="auto"/>
              <w:ind w:left="135"/>
              <w:rPr>
                <w:rFonts w:ascii="宋体" w:hAnsi="宋体" w:eastAsia="宋体" w:cs="宋体"/>
                <w:sz w:val="20"/>
                <w:szCs w:val="20"/>
              </w:rPr>
            </w:pPr>
            <w:r>
              <w:rPr>
                <w:rFonts w:ascii="宋体" w:hAnsi="宋体" w:eastAsia="宋体" w:cs="宋体"/>
                <w:spacing w:val="4"/>
                <w:sz w:val="20"/>
                <w:szCs w:val="20"/>
              </w:rPr>
              <w:t>改</w:t>
            </w:r>
            <w:r>
              <w:rPr>
                <w:rFonts w:ascii="宋体" w:hAnsi="宋体" w:eastAsia="宋体" w:cs="宋体"/>
                <w:spacing w:val="3"/>
                <w:sz w:val="20"/>
                <w:szCs w:val="20"/>
              </w:rPr>
              <w:t>造</w:t>
            </w:r>
          </w:p>
          <w:p>
            <w:pPr>
              <w:spacing w:before="62" w:line="219" w:lineRule="auto"/>
              <w:ind w:left="135"/>
              <w:rPr>
                <w:rFonts w:ascii="宋体" w:hAnsi="宋体" w:eastAsia="宋体" w:cs="宋体"/>
                <w:sz w:val="20"/>
                <w:szCs w:val="20"/>
              </w:rPr>
            </w:pPr>
            <w:r>
              <w:rPr>
                <w:rFonts w:ascii="宋体" w:hAnsi="宋体" w:eastAsia="宋体" w:cs="宋体"/>
                <w:spacing w:val="-3"/>
                <w:sz w:val="20"/>
                <w:szCs w:val="20"/>
              </w:rPr>
              <w:t>完</w:t>
            </w:r>
            <w:r>
              <w:rPr>
                <w:rFonts w:ascii="宋体" w:hAnsi="宋体" w:eastAsia="宋体" w:cs="宋体"/>
                <w:spacing w:val="-2"/>
                <w:sz w:val="20"/>
                <w:szCs w:val="20"/>
              </w:rPr>
              <w:t>成</w:t>
            </w:r>
          </w:p>
          <w:p>
            <w:pPr>
              <w:spacing w:before="52" w:line="219" w:lineRule="auto"/>
              <w:ind w:left="236"/>
              <w:rPr>
                <w:rFonts w:ascii="宋体" w:hAnsi="宋体" w:eastAsia="宋体" w:cs="宋体"/>
                <w:sz w:val="20"/>
                <w:szCs w:val="20"/>
              </w:rPr>
            </w:pPr>
            <w:r>
              <w:rPr>
                <w:rFonts w:ascii="宋体" w:hAnsi="宋体" w:eastAsia="宋体" w:cs="宋体"/>
                <w:sz w:val="20"/>
                <w:szCs w:val="20"/>
              </w:rPr>
              <w:t>率</w:t>
            </w:r>
          </w:p>
        </w:tc>
        <w:tc>
          <w:tcPr>
            <w:tcW w:w="1109" w:type="dxa"/>
            <w:tcBorders>
              <w:top w:val="single" w:color="000000" w:sz="2" w:space="0"/>
              <w:bottom w:val="single" w:color="000000" w:sz="2" w:space="0"/>
            </w:tcBorders>
            <w:noWrap w:val="0"/>
            <w:vAlign w:val="top"/>
          </w:tcPr>
          <w:p>
            <w:pPr>
              <w:spacing w:line="253" w:lineRule="auto"/>
              <w:rPr>
                <w:rFonts w:ascii="Arial"/>
                <w:sz w:val="21"/>
              </w:rPr>
            </w:pPr>
          </w:p>
          <w:p>
            <w:pPr>
              <w:spacing w:line="253" w:lineRule="auto"/>
              <w:rPr>
                <w:rFonts w:ascii="Arial"/>
                <w:sz w:val="21"/>
              </w:rPr>
            </w:pPr>
          </w:p>
          <w:p>
            <w:pPr>
              <w:spacing w:before="65" w:line="219" w:lineRule="auto"/>
              <w:ind w:left="216"/>
              <w:rPr>
                <w:rFonts w:ascii="宋体" w:hAnsi="宋体" w:eastAsia="宋体" w:cs="宋体"/>
                <w:sz w:val="20"/>
                <w:szCs w:val="20"/>
              </w:rPr>
            </w:pPr>
            <w:r>
              <w:rPr>
                <w:rFonts w:ascii="宋体" w:hAnsi="宋体" w:eastAsia="宋体" w:cs="宋体"/>
                <w:spacing w:val="-2"/>
                <w:sz w:val="20"/>
                <w:szCs w:val="20"/>
              </w:rPr>
              <w:t>计划</w:t>
            </w:r>
            <w:r>
              <w:rPr>
                <w:rFonts w:ascii="宋体" w:hAnsi="宋体" w:eastAsia="宋体" w:cs="宋体"/>
                <w:spacing w:val="-1"/>
                <w:sz w:val="20"/>
                <w:szCs w:val="20"/>
              </w:rPr>
              <w:t>改造</w:t>
            </w:r>
          </w:p>
          <w:p>
            <w:pPr>
              <w:spacing w:before="95" w:line="222" w:lineRule="auto"/>
              <w:ind w:left="415"/>
              <w:rPr>
                <w:rFonts w:ascii="宋体" w:hAnsi="宋体" w:eastAsia="宋体" w:cs="宋体"/>
                <w:sz w:val="20"/>
                <w:szCs w:val="20"/>
              </w:rPr>
            </w:pPr>
            <w:r>
              <w:rPr>
                <w:rFonts w:ascii="宋体" w:hAnsi="宋体" w:eastAsia="宋体" w:cs="宋体"/>
                <w:color w:val="001865"/>
                <w:spacing w:val="-9"/>
                <w:sz w:val="20"/>
                <w:szCs w:val="20"/>
              </w:rPr>
              <w:t>(</w:t>
            </w:r>
            <w:r>
              <w:rPr>
                <w:rFonts w:ascii="宋体" w:hAnsi="宋体" w:eastAsia="宋体" w:cs="宋体"/>
                <w:color w:val="001865"/>
                <w:spacing w:val="-8"/>
                <w:sz w:val="20"/>
                <w:szCs w:val="20"/>
              </w:rPr>
              <w:t>km)</w:t>
            </w:r>
          </w:p>
        </w:tc>
        <w:tc>
          <w:tcPr>
            <w:tcW w:w="789" w:type="dxa"/>
            <w:tcBorders>
              <w:top w:val="single" w:color="000000" w:sz="2" w:space="0"/>
              <w:bottom w:val="single" w:color="000000" w:sz="2" w:space="0"/>
            </w:tcBorders>
            <w:noWrap w:val="0"/>
            <w:vAlign w:val="top"/>
          </w:tcPr>
          <w:p>
            <w:pPr>
              <w:spacing w:line="267" w:lineRule="auto"/>
              <w:rPr>
                <w:rFonts w:ascii="Arial"/>
                <w:sz w:val="21"/>
              </w:rPr>
            </w:pPr>
          </w:p>
          <w:p>
            <w:pPr>
              <w:spacing w:line="268" w:lineRule="auto"/>
              <w:rPr>
                <w:rFonts w:ascii="Arial"/>
                <w:sz w:val="21"/>
              </w:rPr>
            </w:pPr>
          </w:p>
          <w:p>
            <w:pPr>
              <w:spacing w:before="65" w:line="294" w:lineRule="auto"/>
              <w:ind w:left="186" w:right="84" w:hanging="99"/>
              <w:rPr>
                <w:rFonts w:ascii="宋体" w:hAnsi="宋体" w:eastAsia="宋体" w:cs="宋体"/>
                <w:sz w:val="20"/>
                <w:szCs w:val="20"/>
              </w:rPr>
            </w:pPr>
            <w:r>
              <w:rPr>
                <w:rFonts w:ascii="宋体" w:hAnsi="宋体" w:eastAsia="宋体" w:cs="宋体"/>
                <w:spacing w:val="3"/>
                <w:sz w:val="20"/>
                <w:szCs w:val="20"/>
              </w:rPr>
              <w:t>已</w:t>
            </w:r>
            <w:r>
              <w:rPr>
                <w:rFonts w:ascii="宋体" w:hAnsi="宋体" w:eastAsia="宋体" w:cs="宋体"/>
                <w:spacing w:val="2"/>
                <w:sz w:val="20"/>
                <w:szCs w:val="20"/>
              </w:rPr>
              <w:t>改造</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km)</w:t>
            </w:r>
          </w:p>
        </w:tc>
        <w:tc>
          <w:tcPr>
            <w:tcW w:w="879" w:type="dxa"/>
            <w:tcBorders>
              <w:top w:val="single" w:color="000000" w:sz="2" w:space="0"/>
              <w:bottom w:val="single" w:color="000000" w:sz="2" w:space="0"/>
            </w:tcBorders>
            <w:noWrap w:val="0"/>
            <w:vAlign w:val="top"/>
          </w:tcPr>
          <w:p>
            <w:pPr>
              <w:spacing w:line="272" w:lineRule="auto"/>
              <w:rPr>
                <w:rFonts w:ascii="Arial"/>
                <w:sz w:val="21"/>
              </w:rPr>
            </w:pPr>
          </w:p>
          <w:p>
            <w:pPr>
              <w:spacing w:line="273" w:lineRule="auto"/>
              <w:rPr>
                <w:rFonts w:ascii="Arial"/>
                <w:sz w:val="21"/>
              </w:rPr>
            </w:pPr>
          </w:p>
          <w:p>
            <w:pPr>
              <w:spacing w:before="65" w:line="281" w:lineRule="auto"/>
              <w:ind w:left="237" w:right="120" w:hanging="100"/>
              <w:rPr>
                <w:rFonts w:ascii="宋体" w:hAnsi="宋体" w:eastAsia="宋体" w:cs="宋体"/>
                <w:sz w:val="20"/>
                <w:szCs w:val="20"/>
              </w:rPr>
            </w:pPr>
            <w:r>
              <w:rPr>
                <w:rFonts w:ascii="宋体" w:hAnsi="宋体" w:eastAsia="宋体" w:cs="宋体"/>
                <w:spacing w:val="4"/>
                <w:sz w:val="20"/>
                <w:szCs w:val="20"/>
              </w:rPr>
              <w:t>改</w:t>
            </w:r>
            <w:r>
              <w:rPr>
                <w:rFonts w:ascii="宋体" w:hAnsi="宋体" w:eastAsia="宋体" w:cs="宋体"/>
                <w:spacing w:val="3"/>
                <w:sz w:val="20"/>
                <w:szCs w:val="20"/>
              </w:rPr>
              <w:t>造完</w:t>
            </w:r>
            <w:r>
              <w:rPr>
                <w:rFonts w:ascii="宋体" w:hAnsi="宋体" w:eastAsia="宋体" w:cs="宋体"/>
                <w:sz w:val="20"/>
                <w:szCs w:val="20"/>
              </w:rPr>
              <w:t xml:space="preserve"> </w:t>
            </w:r>
            <w:r>
              <w:rPr>
                <w:rFonts w:ascii="宋体" w:hAnsi="宋体" w:eastAsia="宋体" w:cs="宋体"/>
                <w:spacing w:val="-3"/>
                <w:sz w:val="20"/>
                <w:szCs w:val="20"/>
              </w:rPr>
              <w:t>成</w:t>
            </w:r>
            <w:r>
              <w:rPr>
                <w:rFonts w:ascii="宋体" w:hAnsi="宋体" w:eastAsia="宋体" w:cs="宋体"/>
                <w:spacing w:val="-2"/>
                <w:sz w:val="20"/>
                <w:szCs w:val="20"/>
              </w:rPr>
              <w:t>率</w:t>
            </w:r>
          </w:p>
        </w:tc>
        <w:tc>
          <w:tcPr>
            <w:tcW w:w="1079" w:type="dxa"/>
            <w:tcBorders>
              <w:top w:val="single" w:color="000000" w:sz="2" w:space="0"/>
              <w:bottom w:val="single" w:color="000000" w:sz="2" w:space="0"/>
            </w:tcBorders>
            <w:noWrap w:val="0"/>
            <w:vAlign w:val="top"/>
          </w:tcPr>
          <w:p>
            <w:pPr>
              <w:spacing w:line="258" w:lineRule="auto"/>
              <w:rPr>
                <w:rFonts w:ascii="Arial"/>
                <w:sz w:val="21"/>
              </w:rPr>
            </w:pPr>
          </w:p>
          <w:p>
            <w:pPr>
              <w:spacing w:line="258" w:lineRule="auto"/>
              <w:rPr>
                <w:rFonts w:ascii="Arial"/>
                <w:sz w:val="21"/>
              </w:rPr>
            </w:pPr>
          </w:p>
          <w:p>
            <w:pPr>
              <w:spacing w:before="65" w:line="299" w:lineRule="auto"/>
              <w:ind w:left="338" w:right="137" w:hanging="199"/>
              <w:rPr>
                <w:rFonts w:ascii="宋体" w:hAnsi="宋体" w:eastAsia="宋体" w:cs="宋体"/>
                <w:sz w:val="20"/>
                <w:szCs w:val="20"/>
              </w:rPr>
            </w:pPr>
            <w:r>
              <w:rPr>
                <w:rFonts w:ascii="宋体" w:hAnsi="宋体" w:eastAsia="宋体" w:cs="宋体"/>
                <w:spacing w:val="-2"/>
                <w:sz w:val="20"/>
                <w:szCs w:val="20"/>
              </w:rPr>
              <w:t>计划安装</w:t>
            </w:r>
            <w:r>
              <w:rPr>
                <w:rFonts w:ascii="宋体" w:hAnsi="宋体" w:eastAsia="宋体" w:cs="宋体"/>
                <w:sz w:val="20"/>
                <w:szCs w:val="20"/>
              </w:rPr>
              <w:t xml:space="preserve"> </w:t>
            </w:r>
            <w:r>
              <w:rPr>
                <w:rFonts w:ascii="宋体" w:hAnsi="宋体" w:eastAsia="宋体" w:cs="宋体"/>
                <w:spacing w:val="15"/>
                <w:sz w:val="20"/>
                <w:szCs w:val="20"/>
              </w:rPr>
              <w:t>(</w:t>
            </w:r>
            <w:r>
              <w:rPr>
                <w:rFonts w:ascii="宋体" w:hAnsi="宋体" w:eastAsia="宋体" w:cs="宋体"/>
                <w:spacing w:val="14"/>
                <w:sz w:val="20"/>
                <w:szCs w:val="20"/>
              </w:rPr>
              <w:t>户)</w:t>
            </w:r>
          </w:p>
        </w:tc>
        <w:tc>
          <w:tcPr>
            <w:tcW w:w="944" w:type="dxa"/>
            <w:tcBorders>
              <w:top w:val="single" w:color="000000" w:sz="2" w:space="0"/>
              <w:bottom w:val="single" w:color="000000" w:sz="2" w:space="0"/>
            </w:tcBorders>
            <w:noWrap w:val="0"/>
            <w:vAlign w:val="top"/>
          </w:tcPr>
          <w:p>
            <w:pPr>
              <w:spacing w:line="268" w:lineRule="auto"/>
              <w:rPr>
                <w:rFonts w:ascii="Arial"/>
                <w:sz w:val="21"/>
              </w:rPr>
            </w:pPr>
          </w:p>
          <w:p>
            <w:pPr>
              <w:spacing w:line="269" w:lineRule="auto"/>
              <w:rPr>
                <w:rFonts w:ascii="Arial"/>
                <w:sz w:val="21"/>
              </w:rPr>
            </w:pPr>
          </w:p>
          <w:p>
            <w:pPr>
              <w:spacing w:before="65" w:line="281" w:lineRule="auto"/>
              <w:ind w:left="179" w:right="80" w:hanging="99"/>
              <w:rPr>
                <w:rFonts w:ascii="宋体" w:hAnsi="宋体" w:eastAsia="宋体" w:cs="宋体"/>
                <w:sz w:val="20"/>
                <w:szCs w:val="20"/>
              </w:rPr>
            </w:pPr>
            <w:r>
              <w:rPr>
                <w:rFonts w:ascii="宋体" w:hAnsi="宋体" w:eastAsia="宋体" w:cs="宋体"/>
                <w:spacing w:val="-1"/>
                <w:sz w:val="20"/>
                <w:szCs w:val="20"/>
              </w:rPr>
              <w:t>已</w:t>
            </w:r>
            <w:r>
              <w:rPr>
                <w:rFonts w:ascii="宋体" w:hAnsi="宋体" w:eastAsia="宋体" w:cs="宋体"/>
                <w:sz w:val="20"/>
                <w:szCs w:val="20"/>
              </w:rPr>
              <w:t xml:space="preserve">安装 </w:t>
            </w:r>
            <w:r>
              <w:rPr>
                <w:rFonts w:ascii="宋体" w:hAnsi="宋体" w:eastAsia="宋体" w:cs="宋体"/>
                <w:spacing w:val="15"/>
                <w:sz w:val="20"/>
                <w:szCs w:val="20"/>
              </w:rPr>
              <w:t>(</w:t>
            </w:r>
            <w:r>
              <w:rPr>
                <w:rFonts w:ascii="宋体" w:hAnsi="宋体" w:eastAsia="宋体" w:cs="宋体"/>
                <w:spacing w:val="14"/>
                <w:sz w:val="20"/>
                <w:szCs w:val="20"/>
              </w:rPr>
              <w:t>户)</w:t>
            </w:r>
          </w:p>
        </w:tc>
        <w:tc>
          <w:tcPr>
            <w:tcW w:w="1083" w:type="dxa"/>
            <w:tcBorders>
              <w:top w:val="single" w:color="000000" w:sz="2" w:space="0"/>
              <w:bottom w:val="single" w:color="000000" w:sz="2" w:space="0"/>
            </w:tcBorders>
            <w:noWrap w:val="0"/>
            <w:vAlign w:val="top"/>
          </w:tcPr>
          <w:p>
            <w:pPr>
              <w:spacing w:line="332" w:lineRule="auto"/>
              <w:rPr>
                <w:rFonts w:ascii="Arial"/>
                <w:sz w:val="21"/>
              </w:rPr>
            </w:pPr>
          </w:p>
          <w:p>
            <w:pPr>
              <w:spacing w:line="333" w:lineRule="auto"/>
              <w:rPr>
                <w:rFonts w:ascii="Arial"/>
                <w:sz w:val="21"/>
              </w:rPr>
            </w:pPr>
          </w:p>
          <w:p>
            <w:pPr>
              <w:spacing w:before="65" w:line="219" w:lineRule="auto"/>
              <w:ind w:left="179"/>
              <w:rPr>
                <w:rFonts w:ascii="宋体" w:hAnsi="宋体" w:eastAsia="宋体" w:cs="宋体"/>
                <w:sz w:val="20"/>
                <w:szCs w:val="20"/>
              </w:rPr>
            </w:pPr>
            <w:r>
              <w:rPr>
                <w:rFonts w:ascii="宋体" w:hAnsi="宋体" w:eastAsia="宋体" w:cs="宋体"/>
                <w:spacing w:val="-3"/>
                <w:sz w:val="20"/>
                <w:szCs w:val="20"/>
              </w:rPr>
              <w:t>完</w:t>
            </w:r>
            <w:r>
              <w:rPr>
                <w:rFonts w:ascii="宋体" w:hAnsi="宋体" w:eastAsia="宋体" w:cs="宋体"/>
                <w:spacing w:val="-2"/>
                <w:sz w:val="20"/>
                <w:szCs w:val="20"/>
              </w:rPr>
              <w:t>成率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250" w:type="dxa"/>
            <w:tcBorders>
              <w:top w:val="single" w:color="000000" w:sz="2" w:space="0"/>
              <w:bottom w:val="single" w:color="000000" w:sz="2" w:space="0"/>
            </w:tcBorders>
            <w:noWrap w:val="0"/>
            <w:vAlign w:val="top"/>
          </w:tcPr>
          <w:p>
            <w:pPr>
              <w:rPr>
                <w:rFonts w:ascii="Arial"/>
                <w:sz w:val="21"/>
              </w:rPr>
            </w:pPr>
          </w:p>
        </w:tc>
        <w:tc>
          <w:tcPr>
            <w:tcW w:w="850" w:type="dxa"/>
            <w:tcBorders>
              <w:top w:val="single" w:color="000000" w:sz="2" w:space="0"/>
              <w:bottom w:val="single" w:color="000000" w:sz="2" w:space="0"/>
            </w:tcBorders>
            <w:noWrap w:val="0"/>
            <w:vAlign w:val="top"/>
          </w:tcPr>
          <w:p>
            <w:pPr>
              <w:rPr>
                <w:rFonts w:ascii="Arial"/>
                <w:sz w:val="21"/>
              </w:rPr>
            </w:pPr>
          </w:p>
        </w:tc>
        <w:tc>
          <w:tcPr>
            <w:tcW w:w="833" w:type="dxa"/>
            <w:tcBorders>
              <w:top w:val="single" w:color="000000" w:sz="2" w:space="0"/>
              <w:bottom w:val="single" w:color="000000" w:sz="2" w:space="0"/>
            </w:tcBorders>
            <w:noWrap w:val="0"/>
            <w:vAlign w:val="top"/>
          </w:tcPr>
          <w:p>
            <w:pPr>
              <w:rPr>
                <w:rFonts w:ascii="Arial"/>
                <w:sz w:val="21"/>
              </w:rPr>
            </w:pPr>
          </w:p>
        </w:tc>
        <w:tc>
          <w:tcPr>
            <w:tcW w:w="801" w:type="dxa"/>
            <w:tcBorders>
              <w:top w:val="single" w:color="000000" w:sz="2" w:space="0"/>
              <w:bottom w:val="single" w:color="000000" w:sz="2" w:space="0"/>
            </w:tcBorders>
            <w:noWrap w:val="0"/>
            <w:vAlign w:val="top"/>
          </w:tcPr>
          <w:p>
            <w:pPr>
              <w:rPr>
                <w:rFonts w:ascii="Arial"/>
                <w:sz w:val="21"/>
              </w:rPr>
            </w:pPr>
          </w:p>
        </w:tc>
        <w:tc>
          <w:tcPr>
            <w:tcW w:w="849" w:type="dxa"/>
            <w:tcBorders>
              <w:top w:val="single" w:color="000000" w:sz="2" w:space="0"/>
              <w:bottom w:val="single" w:color="000000" w:sz="2" w:space="0"/>
            </w:tcBorders>
            <w:noWrap w:val="0"/>
            <w:vAlign w:val="top"/>
          </w:tcPr>
          <w:p>
            <w:pPr>
              <w:rPr>
                <w:rFonts w:ascii="Arial"/>
                <w:sz w:val="21"/>
              </w:rPr>
            </w:pPr>
          </w:p>
        </w:tc>
        <w:tc>
          <w:tcPr>
            <w:tcW w:w="767" w:type="dxa"/>
            <w:tcBorders>
              <w:top w:val="single" w:color="000000" w:sz="2" w:space="0"/>
              <w:bottom w:val="single" w:color="000000" w:sz="2" w:space="0"/>
            </w:tcBorders>
            <w:noWrap w:val="0"/>
            <w:vAlign w:val="top"/>
          </w:tcPr>
          <w:p>
            <w:pPr>
              <w:rPr>
                <w:rFonts w:ascii="Arial"/>
                <w:sz w:val="21"/>
              </w:rPr>
            </w:pPr>
          </w:p>
        </w:tc>
        <w:tc>
          <w:tcPr>
            <w:tcW w:w="983" w:type="dxa"/>
            <w:tcBorders>
              <w:top w:val="single" w:color="000000" w:sz="2" w:space="0"/>
              <w:bottom w:val="single" w:color="000000" w:sz="2" w:space="0"/>
            </w:tcBorders>
            <w:noWrap w:val="0"/>
            <w:vAlign w:val="top"/>
          </w:tcPr>
          <w:p>
            <w:pPr>
              <w:rPr>
                <w:rFonts w:ascii="Arial"/>
                <w:sz w:val="21"/>
              </w:rPr>
            </w:pPr>
          </w:p>
        </w:tc>
        <w:tc>
          <w:tcPr>
            <w:tcW w:w="887" w:type="dxa"/>
            <w:tcBorders>
              <w:top w:val="single" w:color="000000" w:sz="2" w:space="0"/>
              <w:bottom w:val="single" w:color="000000" w:sz="2" w:space="0"/>
            </w:tcBorders>
            <w:noWrap w:val="0"/>
            <w:vAlign w:val="top"/>
          </w:tcPr>
          <w:p>
            <w:pPr>
              <w:rPr>
                <w:rFonts w:ascii="Arial"/>
                <w:sz w:val="21"/>
              </w:rPr>
            </w:pPr>
          </w:p>
        </w:tc>
        <w:tc>
          <w:tcPr>
            <w:tcW w:w="830" w:type="dxa"/>
            <w:tcBorders>
              <w:top w:val="single" w:color="000000" w:sz="2" w:space="0"/>
              <w:bottom w:val="single" w:color="000000" w:sz="2" w:space="0"/>
            </w:tcBorders>
            <w:noWrap w:val="0"/>
            <w:vAlign w:val="top"/>
          </w:tcPr>
          <w:p>
            <w:pPr>
              <w:rPr>
                <w:rFonts w:ascii="Arial"/>
                <w:sz w:val="21"/>
              </w:rPr>
            </w:pPr>
          </w:p>
        </w:tc>
        <w:tc>
          <w:tcPr>
            <w:tcW w:w="1109" w:type="dxa"/>
            <w:tcBorders>
              <w:top w:val="single" w:color="000000" w:sz="2" w:space="0"/>
              <w:bottom w:val="single" w:color="000000" w:sz="2" w:space="0"/>
            </w:tcBorders>
            <w:noWrap w:val="0"/>
            <w:vAlign w:val="top"/>
          </w:tcPr>
          <w:p>
            <w:pPr>
              <w:rPr>
                <w:rFonts w:ascii="Arial"/>
                <w:sz w:val="21"/>
              </w:rPr>
            </w:pPr>
          </w:p>
        </w:tc>
        <w:tc>
          <w:tcPr>
            <w:tcW w:w="789" w:type="dxa"/>
            <w:tcBorders>
              <w:top w:val="single" w:color="000000" w:sz="2" w:space="0"/>
              <w:bottom w:val="single" w:color="000000" w:sz="2" w:space="0"/>
            </w:tcBorders>
            <w:noWrap w:val="0"/>
            <w:vAlign w:val="top"/>
          </w:tcPr>
          <w:p>
            <w:pPr>
              <w:rPr>
                <w:rFonts w:ascii="Arial"/>
                <w:sz w:val="21"/>
              </w:rPr>
            </w:pPr>
          </w:p>
        </w:tc>
        <w:tc>
          <w:tcPr>
            <w:tcW w:w="879" w:type="dxa"/>
            <w:tcBorders>
              <w:top w:val="single" w:color="000000" w:sz="2" w:space="0"/>
              <w:bottom w:val="single" w:color="000000" w:sz="2" w:space="0"/>
            </w:tcBorders>
            <w:noWrap w:val="0"/>
            <w:vAlign w:val="top"/>
          </w:tcPr>
          <w:p>
            <w:pPr>
              <w:rPr>
                <w:rFonts w:ascii="Arial"/>
                <w:sz w:val="21"/>
              </w:rPr>
            </w:pPr>
          </w:p>
        </w:tc>
        <w:tc>
          <w:tcPr>
            <w:tcW w:w="1079" w:type="dxa"/>
            <w:tcBorders>
              <w:top w:val="single" w:color="000000" w:sz="2" w:space="0"/>
              <w:bottom w:val="single" w:color="000000" w:sz="2" w:space="0"/>
            </w:tcBorders>
            <w:noWrap w:val="0"/>
            <w:vAlign w:val="top"/>
          </w:tcPr>
          <w:p>
            <w:pPr>
              <w:rPr>
                <w:rFonts w:ascii="Arial"/>
                <w:sz w:val="21"/>
              </w:rPr>
            </w:pPr>
          </w:p>
        </w:tc>
        <w:tc>
          <w:tcPr>
            <w:tcW w:w="944" w:type="dxa"/>
            <w:tcBorders>
              <w:top w:val="single" w:color="000000" w:sz="2" w:space="0"/>
              <w:bottom w:val="single" w:color="000000" w:sz="2" w:space="0"/>
            </w:tcBorders>
            <w:noWrap w:val="0"/>
            <w:vAlign w:val="top"/>
          </w:tcPr>
          <w:p>
            <w:pPr>
              <w:rPr>
                <w:rFonts w:ascii="Arial"/>
                <w:sz w:val="21"/>
              </w:rPr>
            </w:pPr>
          </w:p>
        </w:tc>
        <w:tc>
          <w:tcPr>
            <w:tcW w:w="108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250" w:type="dxa"/>
            <w:tcBorders>
              <w:top w:val="single" w:color="000000" w:sz="2" w:space="0"/>
              <w:bottom w:val="single" w:color="000000" w:sz="2" w:space="0"/>
            </w:tcBorders>
            <w:noWrap w:val="0"/>
            <w:vAlign w:val="top"/>
          </w:tcPr>
          <w:p>
            <w:pPr>
              <w:rPr>
                <w:rFonts w:ascii="Arial"/>
                <w:sz w:val="21"/>
              </w:rPr>
            </w:pPr>
          </w:p>
        </w:tc>
        <w:tc>
          <w:tcPr>
            <w:tcW w:w="850" w:type="dxa"/>
            <w:tcBorders>
              <w:top w:val="single" w:color="000000" w:sz="2" w:space="0"/>
              <w:bottom w:val="single" w:color="000000" w:sz="2" w:space="0"/>
            </w:tcBorders>
            <w:noWrap w:val="0"/>
            <w:vAlign w:val="top"/>
          </w:tcPr>
          <w:p>
            <w:pPr>
              <w:rPr>
                <w:rFonts w:ascii="Arial"/>
                <w:sz w:val="21"/>
              </w:rPr>
            </w:pPr>
          </w:p>
        </w:tc>
        <w:tc>
          <w:tcPr>
            <w:tcW w:w="833" w:type="dxa"/>
            <w:tcBorders>
              <w:top w:val="single" w:color="000000" w:sz="2" w:space="0"/>
              <w:bottom w:val="single" w:color="000000" w:sz="2" w:space="0"/>
            </w:tcBorders>
            <w:noWrap w:val="0"/>
            <w:vAlign w:val="top"/>
          </w:tcPr>
          <w:p>
            <w:pPr>
              <w:rPr>
                <w:rFonts w:ascii="Arial"/>
                <w:sz w:val="21"/>
              </w:rPr>
            </w:pPr>
          </w:p>
        </w:tc>
        <w:tc>
          <w:tcPr>
            <w:tcW w:w="801" w:type="dxa"/>
            <w:tcBorders>
              <w:top w:val="single" w:color="000000" w:sz="2" w:space="0"/>
              <w:bottom w:val="single" w:color="000000" w:sz="2" w:space="0"/>
            </w:tcBorders>
            <w:noWrap w:val="0"/>
            <w:vAlign w:val="top"/>
          </w:tcPr>
          <w:p>
            <w:pPr>
              <w:rPr>
                <w:rFonts w:ascii="Arial"/>
                <w:sz w:val="21"/>
              </w:rPr>
            </w:pPr>
          </w:p>
        </w:tc>
        <w:tc>
          <w:tcPr>
            <w:tcW w:w="849" w:type="dxa"/>
            <w:tcBorders>
              <w:top w:val="single" w:color="000000" w:sz="2" w:space="0"/>
              <w:bottom w:val="single" w:color="000000" w:sz="2" w:space="0"/>
            </w:tcBorders>
            <w:noWrap w:val="0"/>
            <w:vAlign w:val="top"/>
          </w:tcPr>
          <w:p>
            <w:pPr>
              <w:rPr>
                <w:rFonts w:ascii="Arial"/>
                <w:sz w:val="21"/>
              </w:rPr>
            </w:pPr>
          </w:p>
        </w:tc>
        <w:tc>
          <w:tcPr>
            <w:tcW w:w="767" w:type="dxa"/>
            <w:tcBorders>
              <w:top w:val="single" w:color="000000" w:sz="2" w:space="0"/>
              <w:bottom w:val="single" w:color="000000" w:sz="2" w:space="0"/>
            </w:tcBorders>
            <w:noWrap w:val="0"/>
            <w:vAlign w:val="top"/>
          </w:tcPr>
          <w:p>
            <w:pPr>
              <w:rPr>
                <w:rFonts w:ascii="Arial"/>
                <w:sz w:val="21"/>
              </w:rPr>
            </w:pPr>
          </w:p>
        </w:tc>
        <w:tc>
          <w:tcPr>
            <w:tcW w:w="983" w:type="dxa"/>
            <w:tcBorders>
              <w:top w:val="single" w:color="000000" w:sz="2" w:space="0"/>
              <w:bottom w:val="single" w:color="000000" w:sz="2" w:space="0"/>
            </w:tcBorders>
            <w:noWrap w:val="0"/>
            <w:vAlign w:val="top"/>
          </w:tcPr>
          <w:p>
            <w:pPr>
              <w:rPr>
                <w:rFonts w:ascii="Arial"/>
                <w:sz w:val="21"/>
              </w:rPr>
            </w:pPr>
          </w:p>
        </w:tc>
        <w:tc>
          <w:tcPr>
            <w:tcW w:w="887" w:type="dxa"/>
            <w:tcBorders>
              <w:top w:val="single" w:color="000000" w:sz="2" w:space="0"/>
              <w:bottom w:val="single" w:color="000000" w:sz="2" w:space="0"/>
            </w:tcBorders>
            <w:noWrap w:val="0"/>
            <w:vAlign w:val="top"/>
          </w:tcPr>
          <w:p>
            <w:pPr>
              <w:rPr>
                <w:rFonts w:ascii="Arial"/>
                <w:sz w:val="21"/>
              </w:rPr>
            </w:pPr>
          </w:p>
        </w:tc>
        <w:tc>
          <w:tcPr>
            <w:tcW w:w="830" w:type="dxa"/>
            <w:tcBorders>
              <w:top w:val="single" w:color="000000" w:sz="2" w:space="0"/>
              <w:bottom w:val="single" w:color="000000" w:sz="2" w:space="0"/>
            </w:tcBorders>
            <w:noWrap w:val="0"/>
            <w:vAlign w:val="top"/>
          </w:tcPr>
          <w:p>
            <w:pPr>
              <w:rPr>
                <w:rFonts w:ascii="Arial"/>
                <w:sz w:val="21"/>
              </w:rPr>
            </w:pPr>
          </w:p>
        </w:tc>
        <w:tc>
          <w:tcPr>
            <w:tcW w:w="1109" w:type="dxa"/>
            <w:tcBorders>
              <w:top w:val="single" w:color="000000" w:sz="2" w:space="0"/>
              <w:bottom w:val="single" w:color="000000" w:sz="2" w:space="0"/>
            </w:tcBorders>
            <w:noWrap w:val="0"/>
            <w:vAlign w:val="top"/>
          </w:tcPr>
          <w:p>
            <w:pPr>
              <w:rPr>
                <w:rFonts w:ascii="Arial"/>
                <w:sz w:val="21"/>
              </w:rPr>
            </w:pPr>
          </w:p>
        </w:tc>
        <w:tc>
          <w:tcPr>
            <w:tcW w:w="789" w:type="dxa"/>
            <w:tcBorders>
              <w:top w:val="single" w:color="000000" w:sz="2" w:space="0"/>
              <w:bottom w:val="single" w:color="000000" w:sz="2" w:space="0"/>
            </w:tcBorders>
            <w:noWrap w:val="0"/>
            <w:vAlign w:val="top"/>
          </w:tcPr>
          <w:p>
            <w:pPr>
              <w:rPr>
                <w:rFonts w:ascii="Arial"/>
                <w:sz w:val="21"/>
              </w:rPr>
            </w:pPr>
          </w:p>
        </w:tc>
        <w:tc>
          <w:tcPr>
            <w:tcW w:w="879" w:type="dxa"/>
            <w:tcBorders>
              <w:top w:val="single" w:color="000000" w:sz="2" w:space="0"/>
              <w:bottom w:val="single" w:color="000000" w:sz="2" w:space="0"/>
            </w:tcBorders>
            <w:noWrap w:val="0"/>
            <w:vAlign w:val="top"/>
          </w:tcPr>
          <w:p>
            <w:pPr>
              <w:rPr>
                <w:rFonts w:ascii="Arial"/>
                <w:sz w:val="21"/>
              </w:rPr>
            </w:pPr>
          </w:p>
        </w:tc>
        <w:tc>
          <w:tcPr>
            <w:tcW w:w="1079" w:type="dxa"/>
            <w:tcBorders>
              <w:top w:val="single" w:color="000000" w:sz="2" w:space="0"/>
              <w:bottom w:val="single" w:color="000000" w:sz="2" w:space="0"/>
            </w:tcBorders>
            <w:noWrap w:val="0"/>
            <w:vAlign w:val="top"/>
          </w:tcPr>
          <w:p>
            <w:pPr>
              <w:rPr>
                <w:rFonts w:ascii="Arial"/>
                <w:sz w:val="21"/>
              </w:rPr>
            </w:pPr>
          </w:p>
        </w:tc>
        <w:tc>
          <w:tcPr>
            <w:tcW w:w="944" w:type="dxa"/>
            <w:tcBorders>
              <w:top w:val="single" w:color="000000" w:sz="2" w:space="0"/>
              <w:bottom w:val="single" w:color="000000" w:sz="2" w:space="0"/>
            </w:tcBorders>
            <w:noWrap w:val="0"/>
            <w:vAlign w:val="top"/>
          </w:tcPr>
          <w:p>
            <w:pPr>
              <w:rPr>
                <w:rFonts w:ascii="Arial"/>
                <w:sz w:val="21"/>
              </w:rPr>
            </w:pPr>
          </w:p>
        </w:tc>
        <w:tc>
          <w:tcPr>
            <w:tcW w:w="108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50" w:type="dxa"/>
            <w:tcBorders>
              <w:top w:val="single" w:color="000000" w:sz="2" w:space="0"/>
              <w:bottom w:val="single" w:color="000000" w:sz="2" w:space="0"/>
            </w:tcBorders>
            <w:noWrap w:val="0"/>
            <w:vAlign w:val="top"/>
          </w:tcPr>
          <w:p>
            <w:pPr>
              <w:rPr>
                <w:rFonts w:ascii="Arial"/>
                <w:sz w:val="21"/>
              </w:rPr>
            </w:pPr>
          </w:p>
        </w:tc>
        <w:tc>
          <w:tcPr>
            <w:tcW w:w="850" w:type="dxa"/>
            <w:tcBorders>
              <w:top w:val="single" w:color="000000" w:sz="2" w:space="0"/>
              <w:bottom w:val="single" w:color="000000" w:sz="2" w:space="0"/>
            </w:tcBorders>
            <w:noWrap w:val="0"/>
            <w:vAlign w:val="top"/>
          </w:tcPr>
          <w:p>
            <w:pPr>
              <w:rPr>
                <w:rFonts w:ascii="Arial"/>
                <w:sz w:val="21"/>
              </w:rPr>
            </w:pPr>
          </w:p>
        </w:tc>
        <w:tc>
          <w:tcPr>
            <w:tcW w:w="833" w:type="dxa"/>
            <w:tcBorders>
              <w:top w:val="single" w:color="000000" w:sz="2" w:space="0"/>
              <w:bottom w:val="single" w:color="000000" w:sz="2" w:space="0"/>
            </w:tcBorders>
            <w:noWrap w:val="0"/>
            <w:vAlign w:val="top"/>
          </w:tcPr>
          <w:p>
            <w:pPr>
              <w:rPr>
                <w:rFonts w:ascii="Arial"/>
                <w:sz w:val="21"/>
              </w:rPr>
            </w:pPr>
          </w:p>
        </w:tc>
        <w:tc>
          <w:tcPr>
            <w:tcW w:w="801" w:type="dxa"/>
            <w:tcBorders>
              <w:top w:val="single" w:color="000000" w:sz="2" w:space="0"/>
              <w:bottom w:val="single" w:color="000000" w:sz="2" w:space="0"/>
            </w:tcBorders>
            <w:noWrap w:val="0"/>
            <w:vAlign w:val="top"/>
          </w:tcPr>
          <w:p>
            <w:pPr>
              <w:rPr>
                <w:rFonts w:ascii="Arial"/>
                <w:sz w:val="21"/>
              </w:rPr>
            </w:pPr>
          </w:p>
        </w:tc>
        <w:tc>
          <w:tcPr>
            <w:tcW w:w="849" w:type="dxa"/>
            <w:tcBorders>
              <w:top w:val="single" w:color="000000" w:sz="2" w:space="0"/>
              <w:bottom w:val="single" w:color="000000" w:sz="2" w:space="0"/>
            </w:tcBorders>
            <w:noWrap w:val="0"/>
            <w:vAlign w:val="top"/>
          </w:tcPr>
          <w:p>
            <w:pPr>
              <w:rPr>
                <w:rFonts w:ascii="Arial"/>
                <w:sz w:val="21"/>
              </w:rPr>
            </w:pPr>
          </w:p>
        </w:tc>
        <w:tc>
          <w:tcPr>
            <w:tcW w:w="767" w:type="dxa"/>
            <w:tcBorders>
              <w:top w:val="single" w:color="000000" w:sz="2" w:space="0"/>
              <w:bottom w:val="single" w:color="000000" w:sz="2" w:space="0"/>
            </w:tcBorders>
            <w:noWrap w:val="0"/>
            <w:vAlign w:val="top"/>
          </w:tcPr>
          <w:p>
            <w:pPr>
              <w:rPr>
                <w:rFonts w:ascii="Arial"/>
                <w:sz w:val="21"/>
              </w:rPr>
            </w:pPr>
          </w:p>
        </w:tc>
        <w:tc>
          <w:tcPr>
            <w:tcW w:w="983" w:type="dxa"/>
            <w:tcBorders>
              <w:top w:val="single" w:color="000000" w:sz="2" w:space="0"/>
              <w:bottom w:val="single" w:color="000000" w:sz="2" w:space="0"/>
            </w:tcBorders>
            <w:noWrap w:val="0"/>
            <w:vAlign w:val="top"/>
          </w:tcPr>
          <w:p>
            <w:pPr>
              <w:rPr>
                <w:rFonts w:ascii="Arial"/>
                <w:sz w:val="21"/>
              </w:rPr>
            </w:pPr>
          </w:p>
        </w:tc>
        <w:tc>
          <w:tcPr>
            <w:tcW w:w="887" w:type="dxa"/>
            <w:tcBorders>
              <w:top w:val="single" w:color="000000" w:sz="2" w:space="0"/>
              <w:bottom w:val="single" w:color="000000" w:sz="2" w:space="0"/>
            </w:tcBorders>
            <w:noWrap w:val="0"/>
            <w:vAlign w:val="top"/>
          </w:tcPr>
          <w:p>
            <w:pPr>
              <w:rPr>
                <w:rFonts w:ascii="Arial"/>
                <w:sz w:val="21"/>
              </w:rPr>
            </w:pPr>
          </w:p>
        </w:tc>
        <w:tc>
          <w:tcPr>
            <w:tcW w:w="830" w:type="dxa"/>
            <w:tcBorders>
              <w:top w:val="single" w:color="000000" w:sz="2" w:space="0"/>
              <w:bottom w:val="single" w:color="000000" w:sz="2" w:space="0"/>
            </w:tcBorders>
            <w:noWrap w:val="0"/>
            <w:vAlign w:val="top"/>
          </w:tcPr>
          <w:p>
            <w:pPr>
              <w:rPr>
                <w:rFonts w:ascii="Arial"/>
                <w:sz w:val="21"/>
              </w:rPr>
            </w:pPr>
          </w:p>
        </w:tc>
        <w:tc>
          <w:tcPr>
            <w:tcW w:w="1109" w:type="dxa"/>
            <w:tcBorders>
              <w:top w:val="single" w:color="000000" w:sz="2" w:space="0"/>
              <w:bottom w:val="single" w:color="000000" w:sz="2" w:space="0"/>
            </w:tcBorders>
            <w:noWrap w:val="0"/>
            <w:vAlign w:val="top"/>
          </w:tcPr>
          <w:p>
            <w:pPr>
              <w:rPr>
                <w:rFonts w:ascii="Arial"/>
                <w:sz w:val="21"/>
              </w:rPr>
            </w:pPr>
          </w:p>
        </w:tc>
        <w:tc>
          <w:tcPr>
            <w:tcW w:w="789" w:type="dxa"/>
            <w:tcBorders>
              <w:top w:val="single" w:color="000000" w:sz="2" w:space="0"/>
              <w:bottom w:val="single" w:color="000000" w:sz="2" w:space="0"/>
            </w:tcBorders>
            <w:noWrap w:val="0"/>
            <w:vAlign w:val="top"/>
          </w:tcPr>
          <w:p>
            <w:pPr>
              <w:rPr>
                <w:rFonts w:ascii="Arial"/>
                <w:sz w:val="21"/>
              </w:rPr>
            </w:pPr>
          </w:p>
        </w:tc>
        <w:tc>
          <w:tcPr>
            <w:tcW w:w="879" w:type="dxa"/>
            <w:tcBorders>
              <w:top w:val="single" w:color="000000" w:sz="2" w:space="0"/>
              <w:bottom w:val="single" w:color="000000" w:sz="2" w:space="0"/>
            </w:tcBorders>
            <w:noWrap w:val="0"/>
            <w:vAlign w:val="top"/>
          </w:tcPr>
          <w:p>
            <w:pPr>
              <w:rPr>
                <w:rFonts w:ascii="Arial"/>
                <w:sz w:val="21"/>
              </w:rPr>
            </w:pPr>
          </w:p>
        </w:tc>
        <w:tc>
          <w:tcPr>
            <w:tcW w:w="1079" w:type="dxa"/>
            <w:tcBorders>
              <w:top w:val="single" w:color="000000" w:sz="2" w:space="0"/>
              <w:bottom w:val="single" w:color="000000" w:sz="2" w:space="0"/>
            </w:tcBorders>
            <w:noWrap w:val="0"/>
            <w:vAlign w:val="top"/>
          </w:tcPr>
          <w:p>
            <w:pPr>
              <w:rPr>
                <w:rFonts w:ascii="Arial"/>
                <w:sz w:val="21"/>
              </w:rPr>
            </w:pPr>
          </w:p>
        </w:tc>
        <w:tc>
          <w:tcPr>
            <w:tcW w:w="944" w:type="dxa"/>
            <w:tcBorders>
              <w:top w:val="single" w:color="000000" w:sz="2" w:space="0"/>
              <w:bottom w:val="single" w:color="000000" w:sz="2" w:space="0"/>
            </w:tcBorders>
            <w:noWrap w:val="0"/>
            <w:vAlign w:val="top"/>
          </w:tcPr>
          <w:p>
            <w:pPr>
              <w:rPr>
                <w:rFonts w:ascii="Arial"/>
                <w:sz w:val="21"/>
              </w:rPr>
            </w:pPr>
          </w:p>
        </w:tc>
        <w:tc>
          <w:tcPr>
            <w:tcW w:w="1083" w:type="dxa"/>
            <w:tcBorders>
              <w:top w:val="single" w:color="000000" w:sz="2" w:space="0"/>
              <w:bottom w:val="single" w:color="000000" w:sz="2" w:space="0"/>
            </w:tcBorders>
            <w:noWrap w:val="0"/>
            <w:vAlign w:val="top"/>
          </w:tcPr>
          <w:p>
            <w:pPr>
              <w:rPr>
                <w:rFonts w:ascii="Arial"/>
                <w:sz w:val="21"/>
              </w:rPr>
            </w:pPr>
          </w:p>
        </w:tc>
      </w:tr>
    </w:tbl>
    <w:p>
      <w:pPr>
        <w:sectPr>
          <w:type w:val="continuous"/>
          <w:pgSz w:w="17000" w:h="11940"/>
          <w:pgMar w:top="1014" w:right="1835" w:bottom="1332" w:left="1770" w:header="0" w:footer="889" w:gutter="0"/>
          <w:cols w:space="720" w:num="1"/>
        </w:sectPr>
      </w:pPr>
    </w:p>
    <w:p>
      <w:pPr>
        <w:spacing w:before="104" w:line="224" w:lineRule="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tabs>
          <w:tab w:val="left" w:pos="3095"/>
          <w:tab w:val="center" w:pos="7031"/>
        </w:tabs>
        <w:spacing w:before="146" w:line="219" w:lineRule="auto"/>
        <w:jc w:val="left"/>
        <w:rPr>
          <w:rFonts w:ascii="宋体" w:hAnsi="宋体" w:eastAsia="宋体" w:cs="宋体"/>
          <w:sz w:val="45"/>
          <w:szCs w:val="45"/>
        </w:rPr>
      </w:pPr>
      <w:r>
        <w:rPr>
          <w:rFonts w:hint="eastAsia" w:ascii="宋体" w:hAnsi="宋体" w:eastAsia="宋体" w:cs="宋体"/>
          <w:spacing w:val="-23"/>
          <w:sz w:val="45"/>
          <w:szCs w:val="45"/>
          <w:lang w:eastAsia="zh-CN"/>
        </w:rPr>
        <w:tab/>
      </w:r>
      <w:r>
        <w:rPr>
          <w:rFonts w:hint="eastAsia" w:ascii="宋体" w:hAnsi="宋体" w:eastAsia="宋体" w:cs="宋体"/>
          <w:spacing w:val="-23"/>
          <w:sz w:val="45"/>
          <w:szCs w:val="45"/>
          <w:lang w:eastAsia="zh-CN"/>
        </w:rPr>
        <w:tab/>
      </w:r>
      <w:r>
        <w:rPr>
          <w:rFonts w:hint="eastAsia" w:ascii="宋体" w:hAnsi="宋体" w:cs="宋体"/>
          <w:spacing w:val="-23"/>
          <w:sz w:val="45"/>
          <w:szCs w:val="45"/>
          <w:lang w:val="en-US" w:eastAsia="zh-CN"/>
        </w:rPr>
        <w:t>湛河区</w:t>
      </w:r>
      <w:r>
        <w:rPr>
          <w:rFonts w:ascii="宋体" w:hAnsi="宋体" w:eastAsia="宋体" w:cs="宋体"/>
          <w:spacing w:val="-17"/>
          <w:sz w:val="45"/>
          <w:szCs w:val="45"/>
        </w:rPr>
        <w:t>城镇燃气安全排查整治问题整改台账</w:t>
      </w:r>
    </w:p>
    <w:p/>
    <w:p/>
    <w:p>
      <w:pPr>
        <w:spacing w:line="99" w:lineRule="exact"/>
      </w:pPr>
    </w:p>
    <w:p>
      <w:pPr>
        <w:sectPr>
          <w:footerReference r:id="rId4" w:type="default"/>
          <w:pgSz w:w="16980" w:h="11960"/>
          <w:pgMar w:top="1695" w:right="1446" w:bottom="1480" w:left="1423" w:header="0" w:footer="1214" w:gutter="0"/>
          <w:cols w:space="720" w:num="1"/>
        </w:sectPr>
      </w:pPr>
    </w:p>
    <w:p>
      <w:pPr>
        <w:spacing w:before="64" w:line="184" w:lineRule="auto"/>
        <w:ind w:left="505"/>
        <w:rPr>
          <w:rFonts w:ascii="宋体" w:hAnsi="宋体" w:eastAsia="宋体" w:cs="宋体"/>
          <w:sz w:val="32"/>
          <w:szCs w:val="32"/>
        </w:rPr>
      </w:pPr>
      <w:r>
        <w:rPr>
          <w:rFonts w:ascii="宋体" w:hAnsi="宋体" w:eastAsia="宋体" w:cs="宋体"/>
          <w:spacing w:val="0"/>
          <w:sz w:val="32"/>
          <w:szCs w:val="32"/>
        </w:rPr>
        <w:t>填报单位：</w:t>
      </w:r>
      <w:r>
        <w:rPr>
          <w:rFonts w:ascii="宋体" w:hAnsi="宋体" w:eastAsia="宋体" w:cs="宋体"/>
          <w:sz w:val="32"/>
          <w:szCs w:val="32"/>
          <w:u w:val="single" w:color="auto"/>
        </w:rPr>
        <w:t xml:space="preserve">             </w:t>
      </w:r>
    </w:p>
    <w:tbl>
      <w:tblPr>
        <w:tblStyle w:val="13"/>
        <w:tblpPr w:leftFromText="180" w:rightFromText="180" w:vertAnchor="page" w:horzAnchor="page" w:tblpX="1462" w:tblpY="41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33"/>
        <w:gridCol w:w="700"/>
        <w:gridCol w:w="1350"/>
        <w:gridCol w:w="1200"/>
        <w:gridCol w:w="950"/>
        <w:gridCol w:w="873"/>
        <w:gridCol w:w="889"/>
        <w:gridCol w:w="799"/>
        <w:gridCol w:w="770"/>
        <w:gridCol w:w="780"/>
        <w:gridCol w:w="750"/>
        <w:gridCol w:w="809"/>
        <w:gridCol w:w="799"/>
        <w:gridCol w:w="969"/>
        <w:gridCol w:w="690"/>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27" w:type="dxa"/>
            <w:tcBorders>
              <w:top w:val="single" w:color="000000" w:sz="2" w:space="0"/>
              <w:bottom w:val="single" w:color="000000" w:sz="2" w:space="0"/>
            </w:tcBorders>
            <w:noWrap w:val="0"/>
            <w:textDirection w:val="tbRlV"/>
            <w:vAlign w:val="center"/>
          </w:tcPr>
          <w:p>
            <w:pPr>
              <w:spacing w:before="250" w:line="217" w:lineRule="auto"/>
              <w:ind w:left="269"/>
              <w:jc w:val="center"/>
              <w:rPr>
                <w:rFonts w:ascii="宋体" w:hAnsi="宋体" w:eastAsia="宋体" w:cs="宋体"/>
                <w:sz w:val="21"/>
                <w:szCs w:val="21"/>
              </w:rPr>
            </w:pPr>
            <w:r>
              <w:rPr>
                <w:rFonts w:ascii="宋体" w:hAnsi="宋体" w:eastAsia="宋体" w:cs="宋体"/>
                <w:spacing w:val="98"/>
                <w:sz w:val="21"/>
                <w:szCs w:val="21"/>
              </w:rPr>
              <w:t>序号</w:t>
            </w:r>
          </w:p>
        </w:tc>
        <w:tc>
          <w:tcPr>
            <w:tcW w:w="733" w:type="dxa"/>
            <w:tcBorders>
              <w:top w:val="single" w:color="000000" w:sz="2" w:space="0"/>
              <w:bottom w:val="single" w:color="000000" w:sz="2" w:space="0"/>
            </w:tcBorders>
            <w:noWrap w:val="0"/>
            <w:vAlign w:val="top"/>
          </w:tcPr>
          <w:p>
            <w:pPr>
              <w:spacing w:line="408" w:lineRule="auto"/>
              <w:rPr>
                <w:rFonts w:ascii="Arial"/>
                <w:sz w:val="21"/>
              </w:rPr>
            </w:pPr>
          </w:p>
          <w:p>
            <w:pPr>
              <w:spacing w:before="68" w:line="219" w:lineRule="auto"/>
              <w:ind w:left="230"/>
              <w:rPr>
                <w:rFonts w:ascii="宋体" w:hAnsi="宋体" w:eastAsia="宋体" w:cs="宋体"/>
                <w:sz w:val="21"/>
                <w:szCs w:val="21"/>
              </w:rPr>
            </w:pPr>
            <w:r>
              <w:rPr>
                <w:rFonts w:ascii="宋体" w:hAnsi="宋体" w:eastAsia="宋体" w:cs="宋体"/>
                <w:sz w:val="21"/>
                <w:szCs w:val="21"/>
              </w:rPr>
              <w:t>市</w:t>
            </w:r>
          </w:p>
        </w:tc>
        <w:tc>
          <w:tcPr>
            <w:tcW w:w="700" w:type="dxa"/>
            <w:tcBorders>
              <w:top w:val="single" w:color="000000" w:sz="2" w:space="0"/>
              <w:bottom w:val="single" w:color="000000" w:sz="2" w:space="0"/>
            </w:tcBorders>
            <w:noWrap w:val="0"/>
            <w:vAlign w:val="top"/>
          </w:tcPr>
          <w:p>
            <w:pPr>
              <w:spacing w:line="262" w:lineRule="auto"/>
              <w:rPr>
                <w:rFonts w:ascii="Arial"/>
                <w:sz w:val="21"/>
              </w:rPr>
            </w:pPr>
          </w:p>
          <w:p>
            <w:pPr>
              <w:spacing w:before="69" w:line="286" w:lineRule="auto"/>
              <w:ind w:left="151" w:right="112" w:firstLine="100"/>
              <w:rPr>
                <w:rFonts w:ascii="宋体" w:hAnsi="宋体" w:eastAsia="宋体" w:cs="宋体"/>
                <w:sz w:val="21"/>
                <w:szCs w:val="21"/>
              </w:rPr>
            </w:pPr>
            <w:r>
              <w:rPr>
                <w:rFonts w:ascii="宋体" w:hAnsi="宋体" w:eastAsia="宋体" w:cs="宋体"/>
                <w:spacing w:val="-10"/>
                <w:sz w:val="21"/>
                <w:szCs w:val="21"/>
              </w:rPr>
              <w:t>县</w:t>
            </w:r>
            <w:r>
              <w:rPr>
                <w:rFonts w:ascii="宋体" w:hAnsi="宋体" w:eastAsia="宋体" w:cs="宋体"/>
                <w:sz w:val="21"/>
                <w:szCs w:val="21"/>
              </w:rPr>
              <w:t xml:space="preserve"> </w:t>
            </w:r>
            <w:r>
              <w:rPr>
                <w:rFonts w:ascii="宋体" w:hAnsi="宋体" w:eastAsia="宋体" w:cs="宋体"/>
                <w:spacing w:val="15"/>
                <w:sz w:val="21"/>
                <w:szCs w:val="21"/>
              </w:rPr>
              <w:t>(区)</w:t>
            </w:r>
          </w:p>
        </w:tc>
        <w:tc>
          <w:tcPr>
            <w:tcW w:w="1350" w:type="dxa"/>
            <w:tcBorders>
              <w:top w:val="single" w:color="000000" w:sz="2" w:space="0"/>
              <w:bottom w:val="single" w:color="000000" w:sz="2" w:space="0"/>
            </w:tcBorders>
            <w:noWrap w:val="0"/>
            <w:vAlign w:val="top"/>
          </w:tcPr>
          <w:p>
            <w:pPr>
              <w:spacing w:line="279" w:lineRule="auto"/>
              <w:rPr>
                <w:rFonts w:ascii="Arial"/>
                <w:sz w:val="21"/>
              </w:rPr>
            </w:pPr>
          </w:p>
          <w:p>
            <w:pPr>
              <w:spacing w:before="69" w:line="291" w:lineRule="exact"/>
              <w:ind w:left="291"/>
              <w:rPr>
                <w:rFonts w:ascii="宋体" w:hAnsi="宋体" w:eastAsia="宋体" w:cs="宋体"/>
                <w:sz w:val="21"/>
                <w:szCs w:val="21"/>
              </w:rPr>
            </w:pPr>
            <w:r>
              <w:rPr>
                <w:rFonts w:ascii="宋体" w:hAnsi="宋体" w:eastAsia="宋体" w:cs="宋体"/>
                <w:spacing w:val="-3"/>
                <w:position w:val="5"/>
                <w:sz w:val="21"/>
                <w:szCs w:val="21"/>
              </w:rPr>
              <w:t>企业</w:t>
            </w:r>
          </w:p>
          <w:p>
            <w:pPr>
              <w:spacing w:line="221" w:lineRule="auto"/>
              <w:ind w:left="291"/>
              <w:rPr>
                <w:rFonts w:ascii="宋体" w:hAnsi="宋体" w:eastAsia="宋体" w:cs="宋体"/>
                <w:sz w:val="21"/>
                <w:szCs w:val="21"/>
              </w:rPr>
            </w:pPr>
            <w:r>
              <w:rPr>
                <w:rFonts w:ascii="宋体" w:hAnsi="宋体" w:eastAsia="宋体" w:cs="宋体"/>
                <w:spacing w:val="5"/>
                <w:sz w:val="21"/>
                <w:szCs w:val="21"/>
              </w:rPr>
              <w:t>名称</w:t>
            </w:r>
          </w:p>
        </w:tc>
        <w:tc>
          <w:tcPr>
            <w:tcW w:w="1200" w:type="dxa"/>
            <w:tcBorders>
              <w:top w:val="single" w:color="000000" w:sz="2" w:space="0"/>
              <w:bottom w:val="single" w:color="000000" w:sz="2" w:space="0"/>
            </w:tcBorders>
            <w:noWrap w:val="0"/>
            <w:vAlign w:val="top"/>
          </w:tcPr>
          <w:p>
            <w:pPr>
              <w:spacing w:line="408" w:lineRule="auto"/>
              <w:rPr>
                <w:rFonts w:ascii="Arial"/>
                <w:sz w:val="21"/>
              </w:rPr>
            </w:pPr>
          </w:p>
          <w:p>
            <w:pPr>
              <w:spacing w:before="68" w:line="219" w:lineRule="auto"/>
              <w:ind w:left="171"/>
              <w:rPr>
                <w:rFonts w:ascii="宋体" w:hAnsi="宋体" w:eastAsia="宋体" w:cs="宋体"/>
                <w:sz w:val="21"/>
                <w:szCs w:val="21"/>
              </w:rPr>
            </w:pPr>
            <w:r>
              <w:rPr>
                <w:rFonts w:ascii="宋体" w:hAnsi="宋体" w:eastAsia="宋体" w:cs="宋体"/>
                <w:spacing w:val="3"/>
                <w:sz w:val="21"/>
                <w:szCs w:val="21"/>
              </w:rPr>
              <w:t>企</w:t>
            </w:r>
            <w:r>
              <w:rPr>
                <w:rFonts w:ascii="宋体" w:hAnsi="宋体" w:eastAsia="宋体" w:cs="宋体"/>
                <w:spacing w:val="2"/>
                <w:sz w:val="21"/>
                <w:szCs w:val="21"/>
              </w:rPr>
              <w:t>业分类</w:t>
            </w:r>
          </w:p>
        </w:tc>
        <w:tc>
          <w:tcPr>
            <w:tcW w:w="950" w:type="dxa"/>
            <w:tcBorders>
              <w:top w:val="single" w:color="000000" w:sz="2" w:space="0"/>
              <w:bottom w:val="single" w:color="000000" w:sz="2" w:space="0"/>
            </w:tcBorders>
            <w:noWrap w:val="0"/>
            <w:vAlign w:val="top"/>
          </w:tcPr>
          <w:p>
            <w:pPr>
              <w:spacing w:before="199" w:line="220" w:lineRule="auto"/>
              <w:ind w:left="143"/>
              <w:rPr>
                <w:rFonts w:ascii="宋体" w:hAnsi="宋体" w:eastAsia="宋体" w:cs="宋体"/>
                <w:sz w:val="21"/>
                <w:szCs w:val="21"/>
              </w:rPr>
            </w:pPr>
            <w:r>
              <w:rPr>
                <w:rFonts w:ascii="宋体" w:hAnsi="宋体" w:eastAsia="宋体" w:cs="宋体"/>
                <w:spacing w:val="3"/>
                <w:sz w:val="21"/>
                <w:szCs w:val="21"/>
              </w:rPr>
              <w:t>安全风</w:t>
            </w:r>
          </w:p>
          <w:p>
            <w:pPr>
              <w:spacing w:before="49" w:line="220" w:lineRule="auto"/>
              <w:ind w:left="143"/>
              <w:rPr>
                <w:rFonts w:ascii="宋体" w:hAnsi="宋体" w:eastAsia="宋体" w:cs="宋体"/>
                <w:sz w:val="21"/>
                <w:szCs w:val="21"/>
              </w:rPr>
            </w:pPr>
            <w:r>
              <w:rPr>
                <w:rFonts w:ascii="宋体" w:hAnsi="宋体" w:eastAsia="宋体" w:cs="宋体"/>
                <w:spacing w:val="7"/>
                <w:sz w:val="21"/>
                <w:szCs w:val="21"/>
              </w:rPr>
              <w:t>险隐患</w:t>
            </w:r>
          </w:p>
          <w:p>
            <w:pPr>
              <w:spacing w:before="39" w:line="219" w:lineRule="auto"/>
              <w:ind w:left="253"/>
              <w:rPr>
                <w:rFonts w:ascii="宋体" w:hAnsi="宋体" w:eastAsia="宋体" w:cs="宋体"/>
                <w:sz w:val="21"/>
                <w:szCs w:val="21"/>
              </w:rPr>
            </w:pPr>
            <w:r>
              <w:rPr>
                <w:rFonts w:ascii="宋体" w:hAnsi="宋体" w:eastAsia="宋体" w:cs="宋体"/>
                <w:spacing w:val="9"/>
                <w:sz w:val="21"/>
                <w:szCs w:val="21"/>
              </w:rPr>
              <w:t>类</w:t>
            </w:r>
            <w:r>
              <w:rPr>
                <w:rFonts w:ascii="宋体" w:hAnsi="宋体" w:eastAsia="宋体" w:cs="宋体"/>
                <w:spacing w:val="8"/>
                <w:sz w:val="21"/>
                <w:szCs w:val="21"/>
              </w:rPr>
              <w:t>别</w:t>
            </w:r>
          </w:p>
        </w:tc>
        <w:tc>
          <w:tcPr>
            <w:tcW w:w="873" w:type="dxa"/>
            <w:tcBorders>
              <w:top w:val="single" w:color="000000" w:sz="2" w:space="0"/>
              <w:bottom w:val="single" w:color="000000" w:sz="2" w:space="0"/>
            </w:tcBorders>
            <w:noWrap w:val="0"/>
            <w:vAlign w:val="top"/>
          </w:tcPr>
          <w:p>
            <w:pPr>
              <w:spacing w:before="199" w:line="220" w:lineRule="auto"/>
              <w:ind w:left="184"/>
              <w:rPr>
                <w:rFonts w:ascii="宋体" w:hAnsi="宋体" w:eastAsia="宋体" w:cs="宋体"/>
                <w:sz w:val="21"/>
                <w:szCs w:val="21"/>
              </w:rPr>
            </w:pPr>
            <w:r>
              <w:rPr>
                <w:rFonts w:ascii="宋体" w:hAnsi="宋体" w:eastAsia="宋体" w:cs="宋体"/>
                <w:spacing w:val="4"/>
                <w:sz w:val="21"/>
                <w:szCs w:val="21"/>
              </w:rPr>
              <w:t>安</w:t>
            </w:r>
            <w:r>
              <w:rPr>
                <w:rFonts w:ascii="宋体" w:hAnsi="宋体" w:eastAsia="宋体" w:cs="宋体"/>
                <w:spacing w:val="3"/>
                <w:sz w:val="21"/>
                <w:szCs w:val="21"/>
              </w:rPr>
              <w:t>全风</w:t>
            </w:r>
          </w:p>
          <w:p>
            <w:pPr>
              <w:spacing w:before="49" w:line="220" w:lineRule="auto"/>
              <w:ind w:left="184"/>
              <w:rPr>
                <w:rFonts w:ascii="宋体" w:hAnsi="宋体" w:eastAsia="宋体" w:cs="宋体"/>
                <w:sz w:val="21"/>
                <w:szCs w:val="21"/>
              </w:rPr>
            </w:pPr>
            <w:r>
              <w:rPr>
                <w:rFonts w:ascii="宋体" w:hAnsi="宋体" w:eastAsia="宋体" w:cs="宋体"/>
                <w:spacing w:val="7"/>
                <w:sz w:val="21"/>
                <w:szCs w:val="21"/>
              </w:rPr>
              <w:t>险隐患</w:t>
            </w:r>
          </w:p>
          <w:p>
            <w:pPr>
              <w:spacing w:before="39" w:line="219" w:lineRule="auto"/>
              <w:ind w:left="284"/>
              <w:rPr>
                <w:rFonts w:ascii="宋体" w:hAnsi="宋体" w:eastAsia="宋体" w:cs="宋体"/>
                <w:sz w:val="21"/>
                <w:szCs w:val="21"/>
              </w:rPr>
            </w:pPr>
            <w:r>
              <w:rPr>
                <w:rFonts w:ascii="宋体" w:hAnsi="宋体" w:eastAsia="宋体" w:cs="宋体"/>
                <w:spacing w:val="7"/>
                <w:sz w:val="21"/>
                <w:szCs w:val="21"/>
              </w:rPr>
              <w:t>类</w:t>
            </w:r>
            <w:r>
              <w:rPr>
                <w:rFonts w:ascii="宋体" w:hAnsi="宋体" w:eastAsia="宋体" w:cs="宋体"/>
                <w:spacing w:val="6"/>
                <w:sz w:val="21"/>
                <w:szCs w:val="21"/>
              </w:rPr>
              <w:t>型</w:t>
            </w:r>
          </w:p>
        </w:tc>
        <w:tc>
          <w:tcPr>
            <w:tcW w:w="889" w:type="dxa"/>
            <w:tcBorders>
              <w:top w:val="single" w:color="000000" w:sz="2" w:space="0"/>
              <w:bottom w:val="single" w:color="000000" w:sz="2" w:space="0"/>
            </w:tcBorders>
            <w:noWrap w:val="0"/>
            <w:vAlign w:val="top"/>
          </w:tcPr>
          <w:p>
            <w:pPr>
              <w:spacing w:before="199" w:line="220" w:lineRule="auto"/>
              <w:ind w:left="125"/>
              <w:rPr>
                <w:rFonts w:ascii="宋体" w:hAnsi="宋体" w:eastAsia="宋体" w:cs="宋体"/>
                <w:sz w:val="21"/>
                <w:szCs w:val="21"/>
              </w:rPr>
            </w:pPr>
            <w:r>
              <w:rPr>
                <w:rFonts w:ascii="宋体" w:hAnsi="宋体" w:eastAsia="宋体" w:cs="宋体"/>
                <w:spacing w:val="3"/>
                <w:sz w:val="21"/>
                <w:szCs w:val="21"/>
              </w:rPr>
              <w:t>安全风</w:t>
            </w:r>
          </w:p>
          <w:p>
            <w:pPr>
              <w:spacing w:before="49" w:line="220" w:lineRule="auto"/>
              <w:ind w:left="125"/>
              <w:rPr>
                <w:rFonts w:ascii="宋体" w:hAnsi="宋体" w:eastAsia="宋体" w:cs="宋体"/>
                <w:sz w:val="21"/>
                <w:szCs w:val="21"/>
              </w:rPr>
            </w:pPr>
            <w:r>
              <w:rPr>
                <w:rFonts w:ascii="宋体" w:hAnsi="宋体" w:eastAsia="宋体" w:cs="宋体"/>
                <w:spacing w:val="7"/>
                <w:sz w:val="21"/>
                <w:szCs w:val="21"/>
              </w:rPr>
              <w:t>险隐患</w:t>
            </w:r>
          </w:p>
          <w:p>
            <w:pPr>
              <w:spacing w:before="39" w:line="219" w:lineRule="auto"/>
              <w:ind w:left="225"/>
              <w:rPr>
                <w:rFonts w:ascii="宋体" w:hAnsi="宋体" w:eastAsia="宋体" w:cs="宋体"/>
                <w:sz w:val="21"/>
                <w:szCs w:val="21"/>
              </w:rPr>
            </w:pPr>
            <w:r>
              <w:rPr>
                <w:rFonts w:ascii="宋体" w:hAnsi="宋体" w:eastAsia="宋体" w:cs="宋体"/>
                <w:spacing w:val="7"/>
                <w:sz w:val="21"/>
                <w:szCs w:val="21"/>
              </w:rPr>
              <w:t>等</w:t>
            </w:r>
            <w:r>
              <w:rPr>
                <w:rFonts w:ascii="宋体" w:hAnsi="宋体" w:eastAsia="宋体" w:cs="宋体"/>
                <w:spacing w:val="6"/>
                <w:sz w:val="21"/>
                <w:szCs w:val="21"/>
              </w:rPr>
              <w:t>级</w:t>
            </w:r>
          </w:p>
        </w:tc>
        <w:tc>
          <w:tcPr>
            <w:tcW w:w="799" w:type="dxa"/>
            <w:tcBorders>
              <w:top w:val="single" w:color="000000" w:sz="2" w:space="0"/>
              <w:bottom w:val="single" w:color="000000" w:sz="2" w:space="0"/>
            </w:tcBorders>
            <w:noWrap w:val="0"/>
            <w:vAlign w:val="top"/>
          </w:tcPr>
          <w:p>
            <w:pPr>
              <w:spacing w:line="272" w:lineRule="auto"/>
              <w:rPr>
                <w:rFonts w:ascii="Arial"/>
                <w:sz w:val="21"/>
              </w:rPr>
            </w:pPr>
          </w:p>
          <w:p>
            <w:pPr>
              <w:spacing w:before="68" w:line="299" w:lineRule="exact"/>
              <w:ind w:left="186"/>
              <w:rPr>
                <w:rFonts w:ascii="宋体" w:hAnsi="宋体" w:eastAsia="宋体" w:cs="宋体"/>
                <w:sz w:val="21"/>
                <w:szCs w:val="21"/>
              </w:rPr>
            </w:pPr>
            <w:r>
              <w:rPr>
                <w:rFonts w:ascii="宋体" w:hAnsi="宋体" w:eastAsia="宋体" w:cs="宋体"/>
                <w:spacing w:val="11"/>
                <w:position w:val="6"/>
                <w:sz w:val="21"/>
                <w:szCs w:val="21"/>
              </w:rPr>
              <w:t>隐</w:t>
            </w:r>
            <w:r>
              <w:rPr>
                <w:rFonts w:ascii="宋体" w:hAnsi="宋体" w:eastAsia="宋体" w:cs="宋体"/>
                <w:spacing w:val="10"/>
                <w:position w:val="6"/>
                <w:sz w:val="21"/>
                <w:szCs w:val="21"/>
              </w:rPr>
              <w:t>患</w:t>
            </w:r>
          </w:p>
          <w:p>
            <w:pPr>
              <w:spacing w:line="221" w:lineRule="auto"/>
              <w:ind w:left="186"/>
              <w:rPr>
                <w:rFonts w:ascii="宋体" w:hAnsi="宋体" w:eastAsia="宋体" w:cs="宋体"/>
                <w:sz w:val="21"/>
                <w:szCs w:val="21"/>
              </w:rPr>
            </w:pPr>
            <w:r>
              <w:rPr>
                <w:rFonts w:ascii="宋体" w:hAnsi="宋体" w:eastAsia="宋体" w:cs="宋体"/>
                <w:spacing w:val="-3"/>
                <w:sz w:val="21"/>
                <w:szCs w:val="21"/>
              </w:rPr>
              <w:t>描</w:t>
            </w:r>
            <w:r>
              <w:rPr>
                <w:rFonts w:ascii="宋体" w:hAnsi="宋体" w:eastAsia="宋体" w:cs="宋体"/>
                <w:spacing w:val="-2"/>
                <w:sz w:val="21"/>
                <w:szCs w:val="21"/>
              </w:rPr>
              <w:t>述</w:t>
            </w:r>
          </w:p>
        </w:tc>
        <w:tc>
          <w:tcPr>
            <w:tcW w:w="770" w:type="dxa"/>
            <w:tcBorders>
              <w:top w:val="single" w:color="000000" w:sz="2" w:space="0"/>
              <w:bottom w:val="single" w:color="000000" w:sz="2" w:space="0"/>
            </w:tcBorders>
            <w:noWrap w:val="0"/>
            <w:vAlign w:val="top"/>
          </w:tcPr>
          <w:p>
            <w:pPr>
              <w:spacing w:line="268" w:lineRule="auto"/>
              <w:rPr>
                <w:rFonts w:ascii="Arial"/>
                <w:sz w:val="21"/>
              </w:rPr>
            </w:pPr>
          </w:p>
          <w:p>
            <w:pPr>
              <w:spacing w:before="68" w:line="301" w:lineRule="exact"/>
              <w:ind w:left="167"/>
              <w:rPr>
                <w:rFonts w:ascii="宋体" w:hAnsi="宋体" w:eastAsia="宋体" w:cs="宋体"/>
                <w:sz w:val="21"/>
                <w:szCs w:val="21"/>
              </w:rPr>
            </w:pPr>
            <w:r>
              <w:rPr>
                <w:rFonts w:ascii="宋体" w:hAnsi="宋体" w:eastAsia="宋体" w:cs="宋体"/>
                <w:spacing w:val="-3"/>
                <w:position w:val="6"/>
                <w:sz w:val="21"/>
                <w:szCs w:val="21"/>
              </w:rPr>
              <w:t>整</w:t>
            </w:r>
            <w:r>
              <w:rPr>
                <w:rFonts w:ascii="宋体" w:hAnsi="宋体" w:eastAsia="宋体" w:cs="宋体"/>
                <w:spacing w:val="-2"/>
                <w:position w:val="6"/>
                <w:sz w:val="21"/>
                <w:szCs w:val="21"/>
              </w:rPr>
              <w:t>改</w:t>
            </w:r>
          </w:p>
          <w:p>
            <w:pPr>
              <w:spacing w:line="220" w:lineRule="auto"/>
              <w:ind w:left="167"/>
              <w:rPr>
                <w:rFonts w:ascii="宋体" w:hAnsi="宋体" w:eastAsia="宋体" w:cs="宋体"/>
                <w:sz w:val="21"/>
                <w:szCs w:val="21"/>
              </w:rPr>
            </w:pPr>
            <w:r>
              <w:rPr>
                <w:rFonts w:ascii="宋体" w:hAnsi="宋体" w:eastAsia="宋体" w:cs="宋体"/>
                <w:spacing w:val="-3"/>
                <w:sz w:val="21"/>
                <w:szCs w:val="21"/>
              </w:rPr>
              <w:t>措</w:t>
            </w:r>
            <w:r>
              <w:rPr>
                <w:rFonts w:ascii="宋体" w:hAnsi="宋体" w:eastAsia="宋体" w:cs="宋体"/>
                <w:spacing w:val="-2"/>
                <w:sz w:val="21"/>
                <w:szCs w:val="21"/>
              </w:rPr>
              <w:t>施</w:t>
            </w:r>
          </w:p>
        </w:tc>
        <w:tc>
          <w:tcPr>
            <w:tcW w:w="780" w:type="dxa"/>
            <w:tcBorders>
              <w:top w:val="single" w:color="000000" w:sz="2" w:space="0"/>
              <w:bottom w:val="single" w:color="000000" w:sz="2" w:space="0"/>
            </w:tcBorders>
            <w:noWrap w:val="0"/>
            <w:vAlign w:val="top"/>
          </w:tcPr>
          <w:p>
            <w:pPr>
              <w:spacing w:before="198" w:line="290" w:lineRule="exact"/>
              <w:ind w:left="177"/>
              <w:rPr>
                <w:rFonts w:ascii="宋体" w:hAnsi="宋体" w:eastAsia="宋体" w:cs="宋体"/>
                <w:sz w:val="21"/>
                <w:szCs w:val="21"/>
              </w:rPr>
            </w:pPr>
            <w:r>
              <w:rPr>
                <w:rFonts w:ascii="宋体" w:hAnsi="宋体" w:eastAsia="宋体" w:cs="宋体"/>
                <w:spacing w:val="-3"/>
                <w:position w:val="5"/>
                <w:sz w:val="21"/>
                <w:szCs w:val="21"/>
              </w:rPr>
              <w:t>整</w:t>
            </w:r>
            <w:r>
              <w:rPr>
                <w:rFonts w:ascii="宋体" w:hAnsi="宋体" w:eastAsia="宋体" w:cs="宋体"/>
                <w:spacing w:val="-2"/>
                <w:position w:val="5"/>
                <w:sz w:val="21"/>
                <w:szCs w:val="21"/>
              </w:rPr>
              <w:t>改</w:t>
            </w:r>
          </w:p>
          <w:p>
            <w:pPr>
              <w:spacing w:line="219" w:lineRule="auto"/>
              <w:ind w:left="177"/>
              <w:rPr>
                <w:rFonts w:ascii="宋体" w:hAnsi="宋体" w:eastAsia="宋体" w:cs="宋体"/>
                <w:sz w:val="21"/>
                <w:szCs w:val="21"/>
              </w:rPr>
            </w:pPr>
            <w:r>
              <w:rPr>
                <w:rFonts w:ascii="宋体" w:hAnsi="宋体" w:eastAsia="宋体" w:cs="宋体"/>
                <w:spacing w:val="-3"/>
                <w:sz w:val="21"/>
                <w:szCs w:val="21"/>
              </w:rPr>
              <w:t>完</w:t>
            </w:r>
            <w:r>
              <w:rPr>
                <w:rFonts w:ascii="宋体" w:hAnsi="宋体" w:eastAsia="宋体" w:cs="宋体"/>
                <w:spacing w:val="-2"/>
                <w:sz w:val="21"/>
                <w:szCs w:val="21"/>
              </w:rPr>
              <w:t>成</w:t>
            </w:r>
          </w:p>
          <w:p>
            <w:pPr>
              <w:spacing w:before="41" w:line="220" w:lineRule="auto"/>
              <w:ind w:left="177"/>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5"/>
                <w:sz w:val="21"/>
                <w:szCs w:val="21"/>
              </w:rPr>
              <w:t>限</w:t>
            </w:r>
          </w:p>
        </w:tc>
        <w:tc>
          <w:tcPr>
            <w:tcW w:w="750" w:type="dxa"/>
            <w:tcBorders>
              <w:top w:val="single" w:color="000000" w:sz="2" w:space="0"/>
              <w:bottom w:val="single" w:color="000000" w:sz="2" w:space="0"/>
            </w:tcBorders>
            <w:noWrap w:val="0"/>
            <w:vAlign w:val="top"/>
          </w:tcPr>
          <w:p>
            <w:pPr>
              <w:spacing w:before="198" w:line="301" w:lineRule="exact"/>
              <w:ind w:left="157"/>
              <w:rPr>
                <w:rFonts w:ascii="宋体" w:hAnsi="宋体" w:eastAsia="宋体" w:cs="宋体"/>
                <w:sz w:val="21"/>
                <w:szCs w:val="21"/>
              </w:rPr>
            </w:pPr>
            <w:r>
              <w:rPr>
                <w:rFonts w:ascii="宋体" w:hAnsi="宋体" w:eastAsia="宋体" w:cs="宋体"/>
                <w:spacing w:val="-3"/>
                <w:position w:val="6"/>
                <w:sz w:val="21"/>
                <w:szCs w:val="21"/>
              </w:rPr>
              <w:t>整</w:t>
            </w:r>
            <w:r>
              <w:rPr>
                <w:rFonts w:ascii="宋体" w:hAnsi="宋体" w:eastAsia="宋体" w:cs="宋体"/>
                <w:spacing w:val="-2"/>
                <w:position w:val="6"/>
                <w:sz w:val="21"/>
                <w:szCs w:val="21"/>
              </w:rPr>
              <w:t>改</w:t>
            </w:r>
          </w:p>
          <w:p>
            <w:pPr>
              <w:spacing w:line="220" w:lineRule="auto"/>
              <w:ind w:left="157"/>
              <w:rPr>
                <w:rFonts w:ascii="宋体" w:hAnsi="宋体" w:eastAsia="宋体" w:cs="宋体"/>
                <w:sz w:val="21"/>
                <w:szCs w:val="21"/>
              </w:rPr>
            </w:pPr>
            <w:r>
              <w:rPr>
                <w:rFonts w:ascii="宋体" w:hAnsi="宋体" w:eastAsia="宋体" w:cs="宋体"/>
                <w:spacing w:val="-2"/>
                <w:sz w:val="21"/>
                <w:szCs w:val="21"/>
              </w:rPr>
              <w:t>进度</w:t>
            </w:r>
          </w:p>
          <w:p>
            <w:pPr>
              <w:spacing w:before="29" w:line="220" w:lineRule="auto"/>
              <w:ind w:left="157"/>
              <w:rPr>
                <w:rFonts w:ascii="宋体" w:hAnsi="宋体" w:eastAsia="宋体" w:cs="宋体"/>
                <w:sz w:val="21"/>
                <w:szCs w:val="21"/>
              </w:rPr>
            </w:pPr>
            <w:r>
              <w:rPr>
                <w:rFonts w:ascii="宋体" w:hAnsi="宋体" w:eastAsia="宋体" w:cs="宋体"/>
                <w:spacing w:val="-3"/>
                <w:sz w:val="21"/>
                <w:szCs w:val="21"/>
              </w:rPr>
              <w:t>情</w:t>
            </w:r>
            <w:r>
              <w:rPr>
                <w:rFonts w:ascii="宋体" w:hAnsi="宋体" w:eastAsia="宋体" w:cs="宋体"/>
                <w:spacing w:val="-2"/>
                <w:sz w:val="21"/>
                <w:szCs w:val="21"/>
              </w:rPr>
              <w:t>况</w:t>
            </w:r>
          </w:p>
        </w:tc>
        <w:tc>
          <w:tcPr>
            <w:tcW w:w="809" w:type="dxa"/>
            <w:tcBorders>
              <w:top w:val="single" w:color="000000" w:sz="2" w:space="0"/>
              <w:bottom w:val="single" w:color="000000" w:sz="2" w:space="0"/>
            </w:tcBorders>
            <w:noWrap w:val="0"/>
            <w:vAlign w:val="top"/>
          </w:tcPr>
          <w:p>
            <w:pPr>
              <w:spacing w:before="189" w:line="299" w:lineRule="exact"/>
              <w:ind w:left="187"/>
              <w:rPr>
                <w:rFonts w:ascii="宋体" w:hAnsi="宋体" w:eastAsia="宋体" w:cs="宋体"/>
                <w:sz w:val="21"/>
                <w:szCs w:val="21"/>
              </w:rPr>
            </w:pPr>
            <w:r>
              <w:rPr>
                <w:rFonts w:ascii="宋体" w:hAnsi="宋体" w:eastAsia="宋体" w:cs="宋体"/>
                <w:spacing w:val="-3"/>
                <w:position w:val="6"/>
                <w:sz w:val="21"/>
                <w:szCs w:val="21"/>
              </w:rPr>
              <w:t>行业</w:t>
            </w:r>
          </w:p>
          <w:p>
            <w:pPr>
              <w:spacing w:line="219" w:lineRule="auto"/>
              <w:ind w:left="187"/>
              <w:rPr>
                <w:rFonts w:ascii="宋体" w:hAnsi="宋体" w:eastAsia="宋体" w:cs="宋体"/>
                <w:sz w:val="21"/>
                <w:szCs w:val="21"/>
              </w:rPr>
            </w:pPr>
            <w:r>
              <w:rPr>
                <w:rFonts w:ascii="宋体" w:hAnsi="宋体" w:eastAsia="宋体" w:cs="宋体"/>
                <w:spacing w:val="6"/>
                <w:sz w:val="21"/>
                <w:szCs w:val="21"/>
              </w:rPr>
              <w:t>监</w:t>
            </w:r>
            <w:r>
              <w:rPr>
                <w:rFonts w:ascii="宋体" w:hAnsi="宋体" w:eastAsia="宋体" w:cs="宋体"/>
                <w:spacing w:val="5"/>
                <w:sz w:val="21"/>
                <w:szCs w:val="21"/>
              </w:rPr>
              <w:t>管</w:t>
            </w:r>
          </w:p>
          <w:p>
            <w:pPr>
              <w:spacing w:before="30" w:line="219" w:lineRule="auto"/>
              <w:ind w:left="187"/>
              <w:rPr>
                <w:rFonts w:ascii="宋体" w:hAnsi="宋体" w:eastAsia="宋体" w:cs="宋体"/>
                <w:sz w:val="21"/>
                <w:szCs w:val="21"/>
              </w:rPr>
            </w:pPr>
            <w:r>
              <w:rPr>
                <w:rFonts w:ascii="宋体" w:hAnsi="宋体" w:eastAsia="宋体" w:cs="宋体"/>
                <w:spacing w:val="12"/>
                <w:sz w:val="21"/>
                <w:szCs w:val="21"/>
              </w:rPr>
              <w:t>部</w:t>
            </w:r>
            <w:r>
              <w:rPr>
                <w:rFonts w:ascii="宋体" w:hAnsi="宋体" w:eastAsia="宋体" w:cs="宋体"/>
                <w:spacing w:val="11"/>
                <w:sz w:val="21"/>
                <w:szCs w:val="21"/>
              </w:rPr>
              <w:t>门</w:t>
            </w:r>
          </w:p>
        </w:tc>
        <w:tc>
          <w:tcPr>
            <w:tcW w:w="799" w:type="dxa"/>
            <w:tcBorders>
              <w:top w:val="single" w:color="000000" w:sz="2" w:space="0"/>
              <w:bottom w:val="single" w:color="000000" w:sz="2" w:space="0"/>
            </w:tcBorders>
            <w:noWrap w:val="0"/>
            <w:vAlign w:val="top"/>
          </w:tcPr>
          <w:p>
            <w:pPr>
              <w:spacing w:before="48" w:line="219" w:lineRule="auto"/>
              <w:ind w:left="188"/>
              <w:rPr>
                <w:rFonts w:ascii="宋体" w:hAnsi="宋体" w:eastAsia="宋体" w:cs="宋体"/>
                <w:sz w:val="21"/>
                <w:szCs w:val="21"/>
              </w:rPr>
            </w:pPr>
            <w:r>
              <w:rPr>
                <w:rFonts w:ascii="宋体" w:hAnsi="宋体" w:eastAsia="宋体" w:cs="宋体"/>
                <w:spacing w:val="6"/>
                <w:sz w:val="21"/>
                <w:szCs w:val="21"/>
              </w:rPr>
              <w:t>监</w:t>
            </w:r>
            <w:r>
              <w:rPr>
                <w:rFonts w:ascii="宋体" w:hAnsi="宋体" w:eastAsia="宋体" w:cs="宋体"/>
                <w:spacing w:val="5"/>
                <w:sz w:val="21"/>
                <w:szCs w:val="21"/>
              </w:rPr>
              <w:t>管</w:t>
            </w:r>
          </w:p>
          <w:p>
            <w:pPr>
              <w:spacing w:before="40" w:line="219" w:lineRule="auto"/>
              <w:ind w:left="188"/>
              <w:rPr>
                <w:rFonts w:ascii="宋体" w:hAnsi="宋体" w:eastAsia="宋体" w:cs="宋体"/>
                <w:sz w:val="21"/>
                <w:szCs w:val="21"/>
              </w:rPr>
            </w:pPr>
            <w:r>
              <w:rPr>
                <w:rFonts w:ascii="宋体" w:hAnsi="宋体" w:eastAsia="宋体" w:cs="宋体"/>
                <w:spacing w:val="12"/>
                <w:sz w:val="21"/>
                <w:szCs w:val="21"/>
              </w:rPr>
              <w:t>部</w:t>
            </w:r>
            <w:r>
              <w:rPr>
                <w:rFonts w:ascii="宋体" w:hAnsi="宋体" w:eastAsia="宋体" w:cs="宋体"/>
                <w:spacing w:val="11"/>
                <w:sz w:val="21"/>
                <w:szCs w:val="21"/>
              </w:rPr>
              <w:t>门</w:t>
            </w:r>
          </w:p>
          <w:p>
            <w:pPr>
              <w:spacing w:before="40"/>
              <w:ind w:left="188"/>
              <w:rPr>
                <w:rFonts w:ascii="宋体" w:hAnsi="宋体" w:eastAsia="宋体" w:cs="宋体"/>
                <w:sz w:val="21"/>
                <w:szCs w:val="21"/>
              </w:rPr>
            </w:pPr>
            <w:r>
              <w:rPr>
                <w:rFonts w:ascii="宋体" w:hAnsi="宋体" w:eastAsia="宋体" w:cs="宋体"/>
                <w:spacing w:val="4"/>
                <w:sz w:val="21"/>
                <w:szCs w:val="21"/>
              </w:rPr>
              <w:t>责任</w:t>
            </w:r>
          </w:p>
          <w:p>
            <w:pPr>
              <w:spacing w:line="222" w:lineRule="auto"/>
              <w:ind w:left="288"/>
              <w:rPr>
                <w:rFonts w:ascii="宋体" w:hAnsi="宋体" w:eastAsia="宋体" w:cs="宋体"/>
                <w:sz w:val="21"/>
                <w:szCs w:val="21"/>
              </w:rPr>
            </w:pPr>
            <w:r>
              <w:rPr>
                <w:rFonts w:ascii="宋体" w:hAnsi="宋体" w:eastAsia="宋体" w:cs="宋体"/>
                <w:sz w:val="21"/>
                <w:szCs w:val="21"/>
              </w:rPr>
              <w:t>人</w:t>
            </w:r>
          </w:p>
        </w:tc>
        <w:tc>
          <w:tcPr>
            <w:tcW w:w="969" w:type="dxa"/>
            <w:tcBorders>
              <w:top w:val="single" w:color="000000" w:sz="2" w:space="0"/>
              <w:bottom w:val="single" w:color="000000" w:sz="2" w:space="0"/>
            </w:tcBorders>
            <w:noWrap w:val="0"/>
            <w:vAlign w:val="top"/>
          </w:tcPr>
          <w:p>
            <w:pPr>
              <w:spacing w:before="197" w:line="262" w:lineRule="auto"/>
              <w:ind w:left="169" w:right="148"/>
              <w:rPr>
                <w:rFonts w:ascii="宋体" w:hAnsi="宋体" w:eastAsia="宋体" w:cs="宋体"/>
                <w:sz w:val="21"/>
                <w:szCs w:val="21"/>
              </w:rPr>
            </w:pPr>
            <w:r>
              <w:rPr>
                <w:rFonts w:ascii="宋体" w:hAnsi="宋体" w:eastAsia="宋体" w:cs="宋体"/>
                <w:spacing w:val="4"/>
                <w:sz w:val="21"/>
                <w:szCs w:val="21"/>
              </w:rPr>
              <w:t>监管</w:t>
            </w:r>
            <w:r>
              <w:rPr>
                <w:rFonts w:ascii="宋体" w:hAnsi="宋体" w:eastAsia="宋体" w:cs="宋体"/>
                <w:spacing w:val="3"/>
                <w:sz w:val="21"/>
                <w:szCs w:val="21"/>
              </w:rPr>
              <w:t>部</w:t>
            </w:r>
            <w:r>
              <w:rPr>
                <w:rFonts w:ascii="宋体" w:hAnsi="宋体" w:eastAsia="宋体" w:cs="宋体"/>
                <w:sz w:val="21"/>
                <w:szCs w:val="21"/>
              </w:rPr>
              <w:t xml:space="preserve"> </w:t>
            </w:r>
            <w:r>
              <w:rPr>
                <w:rFonts w:ascii="宋体" w:hAnsi="宋体" w:eastAsia="宋体" w:cs="宋体"/>
                <w:spacing w:val="3"/>
                <w:sz w:val="21"/>
                <w:szCs w:val="21"/>
              </w:rPr>
              <w:t>门责任</w:t>
            </w:r>
            <w:r>
              <w:rPr>
                <w:rFonts w:ascii="宋体" w:hAnsi="宋体" w:eastAsia="宋体" w:cs="宋体"/>
                <w:sz w:val="21"/>
                <w:szCs w:val="21"/>
              </w:rPr>
              <w:t xml:space="preserve"> </w:t>
            </w:r>
            <w:r>
              <w:rPr>
                <w:rFonts w:ascii="宋体" w:hAnsi="宋体" w:eastAsia="宋体" w:cs="宋体"/>
                <w:spacing w:val="-3"/>
                <w:sz w:val="21"/>
                <w:szCs w:val="21"/>
              </w:rPr>
              <w:t>人</w:t>
            </w:r>
            <w:r>
              <w:rPr>
                <w:rFonts w:ascii="宋体" w:hAnsi="宋体" w:eastAsia="宋体" w:cs="宋体"/>
                <w:spacing w:val="-2"/>
                <w:sz w:val="21"/>
                <w:szCs w:val="21"/>
              </w:rPr>
              <w:t>电话</w:t>
            </w:r>
          </w:p>
        </w:tc>
        <w:tc>
          <w:tcPr>
            <w:tcW w:w="690" w:type="dxa"/>
            <w:tcBorders>
              <w:top w:val="single" w:color="000000" w:sz="2" w:space="0"/>
              <w:bottom w:val="single" w:color="000000" w:sz="2" w:space="0"/>
            </w:tcBorders>
            <w:noWrap w:val="0"/>
            <w:vAlign w:val="top"/>
          </w:tcPr>
          <w:p>
            <w:pPr>
              <w:spacing w:line="250" w:lineRule="auto"/>
              <w:rPr>
                <w:rFonts w:ascii="Arial"/>
                <w:sz w:val="21"/>
              </w:rPr>
            </w:pPr>
          </w:p>
          <w:p>
            <w:pPr>
              <w:spacing w:before="68" w:line="279" w:lineRule="exact"/>
              <w:ind w:left="130"/>
              <w:rPr>
                <w:rFonts w:ascii="宋体" w:hAnsi="宋体" w:eastAsia="宋体" w:cs="宋体"/>
                <w:sz w:val="21"/>
                <w:szCs w:val="21"/>
              </w:rPr>
            </w:pPr>
            <w:r>
              <w:rPr>
                <w:rFonts w:ascii="宋体" w:hAnsi="宋体" w:eastAsia="宋体" w:cs="宋体"/>
                <w:spacing w:val="-3"/>
                <w:position w:val="4"/>
                <w:sz w:val="21"/>
                <w:szCs w:val="21"/>
              </w:rPr>
              <w:t>企业</w:t>
            </w:r>
          </w:p>
          <w:p>
            <w:pPr>
              <w:spacing w:line="220" w:lineRule="auto"/>
              <w:ind w:left="90"/>
              <w:rPr>
                <w:rFonts w:ascii="宋体" w:hAnsi="宋体" w:eastAsia="宋体" w:cs="宋体"/>
                <w:sz w:val="21"/>
                <w:szCs w:val="21"/>
              </w:rPr>
            </w:pPr>
            <w:r>
              <w:rPr>
                <w:rFonts w:ascii="宋体" w:hAnsi="宋体" w:eastAsia="宋体" w:cs="宋体"/>
                <w:spacing w:val="-3"/>
                <w:sz w:val="21"/>
                <w:szCs w:val="21"/>
              </w:rPr>
              <w:t>单</w:t>
            </w:r>
            <w:r>
              <w:rPr>
                <w:rFonts w:ascii="宋体" w:hAnsi="宋体" w:eastAsia="宋体" w:cs="宋体"/>
                <w:spacing w:val="-2"/>
                <w:sz w:val="21"/>
                <w:szCs w:val="21"/>
              </w:rPr>
              <w:t>位</w:t>
            </w:r>
          </w:p>
        </w:tc>
        <w:tc>
          <w:tcPr>
            <w:tcW w:w="684" w:type="dxa"/>
            <w:tcBorders>
              <w:top w:val="single" w:color="000000" w:sz="2" w:space="0"/>
              <w:bottom w:val="single" w:color="000000" w:sz="2" w:space="0"/>
            </w:tcBorders>
            <w:noWrap w:val="0"/>
            <w:vAlign w:val="top"/>
          </w:tcPr>
          <w:p>
            <w:pPr>
              <w:spacing w:before="199" w:line="262" w:lineRule="auto"/>
              <w:ind w:left="170" w:right="74"/>
              <w:rPr>
                <w:rFonts w:ascii="宋体" w:hAnsi="宋体" w:eastAsia="宋体" w:cs="宋体"/>
                <w:sz w:val="21"/>
                <w:szCs w:val="21"/>
              </w:rPr>
            </w:pPr>
            <w:r>
              <w:rPr>
                <w:rFonts w:ascii="宋体" w:hAnsi="宋体" w:eastAsia="宋体" w:cs="宋体"/>
                <w:spacing w:val="-7"/>
                <w:sz w:val="21"/>
                <w:szCs w:val="21"/>
              </w:rPr>
              <w:t>企</w:t>
            </w:r>
            <w:r>
              <w:rPr>
                <w:rFonts w:ascii="宋体" w:hAnsi="宋体" w:eastAsia="宋体" w:cs="宋体"/>
                <w:spacing w:val="-5"/>
                <w:sz w:val="21"/>
                <w:szCs w:val="21"/>
              </w:rPr>
              <w:t>业</w:t>
            </w:r>
            <w:r>
              <w:rPr>
                <w:rFonts w:ascii="宋体" w:hAnsi="宋体" w:eastAsia="宋体" w:cs="宋体"/>
                <w:sz w:val="21"/>
                <w:szCs w:val="21"/>
              </w:rPr>
              <w:t xml:space="preserve"> </w:t>
            </w:r>
            <w:r>
              <w:rPr>
                <w:rFonts w:ascii="宋体" w:hAnsi="宋体" w:eastAsia="宋体" w:cs="宋体"/>
                <w:spacing w:val="4"/>
                <w:sz w:val="21"/>
                <w:szCs w:val="21"/>
              </w:rPr>
              <w:t>责任</w:t>
            </w:r>
            <w:r>
              <w:rPr>
                <w:rFonts w:ascii="宋体" w:hAnsi="宋体" w:eastAsia="宋体" w:cs="宋体"/>
                <w:sz w:val="21"/>
                <w:szCs w:val="21"/>
              </w:rPr>
              <w:t xml:space="preserve"> </w:t>
            </w:r>
            <w:r>
              <w:rPr>
                <w:rFonts w:ascii="宋体" w:hAnsi="宋体" w:eastAsia="宋体" w:cs="宋体"/>
                <w:spacing w:val="30"/>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27" w:type="dxa"/>
            <w:tcBorders>
              <w:top w:val="single" w:color="000000" w:sz="2" w:space="0"/>
              <w:bottom w:val="single" w:color="000000" w:sz="2" w:space="0"/>
            </w:tcBorders>
            <w:noWrap w:val="0"/>
            <w:vAlign w:val="top"/>
          </w:tcPr>
          <w:p>
            <w:pPr>
              <w:rPr>
                <w:rFonts w:ascii="Arial"/>
                <w:sz w:val="21"/>
              </w:rPr>
            </w:pPr>
          </w:p>
        </w:tc>
        <w:tc>
          <w:tcPr>
            <w:tcW w:w="733" w:type="dxa"/>
            <w:tcBorders>
              <w:top w:val="single" w:color="000000" w:sz="2" w:space="0"/>
              <w:bottom w:val="single" w:color="000000" w:sz="2" w:space="0"/>
            </w:tcBorders>
            <w:noWrap w:val="0"/>
            <w:vAlign w:val="top"/>
          </w:tcPr>
          <w:p>
            <w:pPr>
              <w:rPr>
                <w:rFonts w:ascii="Arial"/>
                <w:sz w:val="21"/>
              </w:rPr>
            </w:pPr>
          </w:p>
        </w:tc>
        <w:tc>
          <w:tcPr>
            <w:tcW w:w="700" w:type="dxa"/>
            <w:tcBorders>
              <w:top w:val="single" w:color="000000" w:sz="2" w:space="0"/>
              <w:bottom w:val="single" w:color="000000" w:sz="2" w:space="0"/>
            </w:tcBorders>
            <w:noWrap w:val="0"/>
            <w:vAlign w:val="top"/>
          </w:tcPr>
          <w:p>
            <w:pPr>
              <w:rPr>
                <w:rFonts w:ascii="Arial"/>
                <w:sz w:val="21"/>
              </w:rPr>
            </w:pPr>
          </w:p>
        </w:tc>
        <w:tc>
          <w:tcPr>
            <w:tcW w:w="1350" w:type="dxa"/>
            <w:tcBorders>
              <w:top w:val="single" w:color="000000" w:sz="2" w:space="0"/>
              <w:bottom w:val="single" w:color="000000" w:sz="2" w:space="0"/>
            </w:tcBorders>
            <w:noWrap w:val="0"/>
            <w:vAlign w:val="top"/>
          </w:tcPr>
          <w:p>
            <w:pPr>
              <w:rPr>
                <w:rFonts w:ascii="Arial"/>
                <w:sz w:val="21"/>
              </w:rPr>
            </w:pPr>
          </w:p>
        </w:tc>
        <w:tc>
          <w:tcPr>
            <w:tcW w:w="1200" w:type="dxa"/>
            <w:tcBorders>
              <w:top w:val="single" w:color="000000" w:sz="2" w:space="0"/>
              <w:bottom w:val="single" w:color="000000" w:sz="2" w:space="0"/>
            </w:tcBorders>
            <w:noWrap w:val="0"/>
            <w:vAlign w:val="top"/>
          </w:tcPr>
          <w:p>
            <w:pPr>
              <w:rPr>
                <w:rFonts w:ascii="Arial"/>
                <w:sz w:val="21"/>
              </w:rPr>
            </w:pPr>
          </w:p>
        </w:tc>
        <w:tc>
          <w:tcPr>
            <w:tcW w:w="950" w:type="dxa"/>
            <w:tcBorders>
              <w:top w:val="single" w:color="000000" w:sz="2" w:space="0"/>
              <w:bottom w:val="single" w:color="000000" w:sz="2" w:space="0"/>
            </w:tcBorders>
            <w:noWrap w:val="0"/>
            <w:vAlign w:val="top"/>
          </w:tcPr>
          <w:p>
            <w:pPr>
              <w:rPr>
                <w:rFonts w:ascii="Arial"/>
                <w:sz w:val="21"/>
              </w:rPr>
            </w:pPr>
          </w:p>
        </w:tc>
        <w:tc>
          <w:tcPr>
            <w:tcW w:w="873" w:type="dxa"/>
            <w:tcBorders>
              <w:top w:val="single" w:color="000000" w:sz="2" w:space="0"/>
              <w:bottom w:val="single" w:color="000000" w:sz="2" w:space="0"/>
            </w:tcBorders>
            <w:noWrap w:val="0"/>
            <w:vAlign w:val="top"/>
          </w:tcPr>
          <w:p>
            <w:pPr>
              <w:rPr>
                <w:rFonts w:ascii="Arial"/>
                <w:sz w:val="21"/>
              </w:rPr>
            </w:pPr>
          </w:p>
        </w:tc>
        <w:tc>
          <w:tcPr>
            <w:tcW w:w="889" w:type="dxa"/>
            <w:tcBorders>
              <w:top w:val="single" w:color="000000" w:sz="2" w:space="0"/>
              <w:bottom w:val="single" w:color="000000" w:sz="2" w:space="0"/>
            </w:tcBorders>
            <w:noWrap w:val="0"/>
            <w:vAlign w:val="top"/>
          </w:tcPr>
          <w:p>
            <w:pPr>
              <w:rPr>
                <w:rFonts w:ascii="Arial"/>
                <w:sz w:val="21"/>
              </w:rPr>
            </w:pPr>
          </w:p>
        </w:tc>
        <w:tc>
          <w:tcPr>
            <w:tcW w:w="799" w:type="dxa"/>
            <w:tcBorders>
              <w:top w:val="single" w:color="000000" w:sz="2" w:space="0"/>
              <w:bottom w:val="single" w:color="000000" w:sz="2" w:space="0"/>
            </w:tcBorders>
            <w:noWrap w:val="0"/>
            <w:vAlign w:val="top"/>
          </w:tcPr>
          <w:p>
            <w:pPr>
              <w:rPr>
                <w:rFonts w:ascii="Arial"/>
                <w:sz w:val="21"/>
              </w:rPr>
            </w:pPr>
          </w:p>
        </w:tc>
        <w:tc>
          <w:tcPr>
            <w:tcW w:w="770" w:type="dxa"/>
            <w:tcBorders>
              <w:top w:val="single" w:color="000000" w:sz="2" w:space="0"/>
              <w:bottom w:val="single" w:color="000000" w:sz="2" w:space="0"/>
            </w:tcBorders>
            <w:noWrap w:val="0"/>
            <w:vAlign w:val="top"/>
          </w:tcPr>
          <w:p>
            <w:pPr>
              <w:rPr>
                <w:rFonts w:ascii="Arial"/>
                <w:sz w:val="21"/>
              </w:rPr>
            </w:pPr>
          </w:p>
        </w:tc>
        <w:tc>
          <w:tcPr>
            <w:tcW w:w="780" w:type="dxa"/>
            <w:tcBorders>
              <w:top w:val="single" w:color="000000" w:sz="2" w:space="0"/>
              <w:bottom w:val="single" w:color="000000" w:sz="2" w:space="0"/>
            </w:tcBorders>
            <w:noWrap w:val="0"/>
            <w:vAlign w:val="top"/>
          </w:tcPr>
          <w:p>
            <w:pPr>
              <w:rPr>
                <w:rFonts w:ascii="Arial"/>
                <w:sz w:val="21"/>
              </w:rPr>
            </w:pPr>
          </w:p>
        </w:tc>
        <w:tc>
          <w:tcPr>
            <w:tcW w:w="750" w:type="dxa"/>
            <w:tcBorders>
              <w:top w:val="single" w:color="000000" w:sz="2" w:space="0"/>
              <w:bottom w:val="single" w:color="000000" w:sz="2" w:space="0"/>
            </w:tcBorders>
            <w:noWrap w:val="0"/>
            <w:vAlign w:val="top"/>
          </w:tcPr>
          <w:p>
            <w:pPr>
              <w:rPr>
                <w:rFonts w:ascii="Arial"/>
                <w:sz w:val="21"/>
              </w:rPr>
            </w:pPr>
          </w:p>
        </w:tc>
        <w:tc>
          <w:tcPr>
            <w:tcW w:w="809" w:type="dxa"/>
            <w:tcBorders>
              <w:top w:val="single" w:color="000000" w:sz="2" w:space="0"/>
              <w:bottom w:val="single" w:color="000000" w:sz="2" w:space="0"/>
            </w:tcBorders>
            <w:noWrap w:val="0"/>
            <w:vAlign w:val="top"/>
          </w:tcPr>
          <w:p>
            <w:pPr>
              <w:rPr>
                <w:rFonts w:ascii="Arial"/>
                <w:sz w:val="21"/>
              </w:rPr>
            </w:pPr>
          </w:p>
        </w:tc>
        <w:tc>
          <w:tcPr>
            <w:tcW w:w="799" w:type="dxa"/>
            <w:tcBorders>
              <w:top w:val="single" w:color="000000" w:sz="2" w:space="0"/>
              <w:bottom w:val="single" w:color="000000" w:sz="2" w:space="0"/>
            </w:tcBorders>
            <w:noWrap w:val="0"/>
            <w:vAlign w:val="top"/>
          </w:tcPr>
          <w:p>
            <w:pPr>
              <w:rPr>
                <w:rFonts w:ascii="Arial"/>
                <w:sz w:val="21"/>
              </w:rPr>
            </w:pPr>
          </w:p>
        </w:tc>
        <w:tc>
          <w:tcPr>
            <w:tcW w:w="969" w:type="dxa"/>
            <w:tcBorders>
              <w:top w:val="single" w:color="000000" w:sz="2" w:space="0"/>
              <w:bottom w:val="single" w:color="000000" w:sz="2" w:space="0"/>
            </w:tcBorders>
            <w:noWrap w:val="0"/>
            <w:vAlign w:val="top"/>
          </w:tcPr>
          <w:p>
            <w:pPr>
              <w:rPr>
                <w:rFonts w:ascii="Arial"/>
                <w:sz w:val="21"/>
              </w:rPr>
            </w:pPr>
          </w:p>
        </w:tc>
        <w:tc>
          <w:tcPr>
            <w:tcW w:w="690" w:type="dxa"/>
            <w:tcBorders>
              <w:top w:val="single" w:color="000000" w:sz="2" w:space="0"/>
              <w:bottom w:val="single" w:color="000000" w:sz="2" w:space="0"/>
            </w:tcBorders>
            <w:noWrap w:val="0"/>
            <w:vAlign w:val="top"/>
          </w:tcPr>
          <w:p>
            <w:pPr>
              <w:rPr>
                <w:rFonts w:ascii="Arial"/>
                <w:sz w:val="21"/>
              </w:rPr>
            </w:pPr>
          </w:p>
        </w:tc>
        <w:tc>
          <w:tcPr>
            <w:tcW w:w="68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7" w:type="dxa"/>
            <w:tcBorders>
              <w:top w:val="single" w:color="000000" w:sz="2" w:space="0"/>
              <w:bottom w:val="single" w:color="000000" w:sz="2" w:space="0"/>
            </w:tcBorders>
            <w:noWrap w:val="0"/>
            <w:vAlign w:val="top"/>
          </w:tcPr>
          <w:p>
            <w:pPr>
              <w:rPr>
                <w:rFonts w:ascii="Arial"/>
                <w:sz w:val="21"/>
              </w:rPr>
            </w:pPr>
          </w:p>
        </w:tc>
        <w:tc>
          <w:tcPr>
            <w:tcW w:w="733" w:type="dxa"/>
            <w:tcBorders>
              <w:top w:val="single" w:color="000000" w:sz="2" w:space="0"/>
              <w:bottom w:val="single" w:color="000000" w:sz="2" w:space="0"/>
            </w:tcBorders>
            <w:noWrap w:val="0"/>
            <w:vAlign w:val="top"/>
          </w:tcPr>
          <w:p>
            <w:pPr>
              <w:rPr>
                <w:rFonts w:ascii="Arial"/>
                <w:sz w:val="21"/>
              </w:rPr>
            </w:pPr>
          </w:p>
        </w:tc>
        <w:tc>
          <w:tcPr>
            <w:tcW w:w="700" w:type="dxa"/>
            <w:tcBorders>
              <w:top w:val="single" w:color="000000" w:sz="2" w:space="0"/>
              <w:bottom w:val="single" w:color="000000" w:sz="2" w:space="0"/>
            </w:tcBorders>
            <w:noWrap w:val="0"/>
            <w:vAlign w:val="top"/>
          </w:tcPr>
          <w:p>
            <w:pPr>
              <w:rPr>
                <w:rFonts w:ascii="Arial"/>
                <w:sz w:val="21"/>
              </w:rPr>
            </w:pPr>
          </w:p>
        </w:tc>
        <w:tc>
          <w:tcPr>
            <w:tcW w:w="1350" w:type="dxa"/>
            <w:tcBorders>
              <w:top w:val="single" w:color="000000" w:sz="2" w:space="0"/>
              <w:bottom w:val="single" w:color="000000" w:sz="2" w:space="0"/>
            </w:tcBorders>
            <w:noWrap w:val="0"/>
            <w:vAlign w:val="top"/>
          </w:tcPr>
          <w:p>
            <w:pPr>
              <w:rPr>
                <w:rFonts w:ascii="Arial"/>
                <w:sz w:val="21"/>
              </w:rPr>
            </w:pPr>
          </w:p>
        </w:tc>
        <w:tc>
          <w:tcPr>
            <w:tcW w:w="1200" w:type="dxa"/>
            <w:tcBorders>
              <w:top w:val="single" w:color="000000" w:sz="2" w:space="0"/>
              <w:bottom w:val="single" w:color="000000" w:sz="2" w:space="0"/>
            </w:tcBorders>
            <w:noWrap w:val="0"/>
            <w:vAlign w:val="top"/>
          </w:tcPr>
          <w:p>
            <w:pPr>
              <w:rPr>
                <w:rFonts w:ascii="Arial"/>
                <w:sz w:val="21"/>
              </w:rPr>
            </w:pPr>
          </w:p>
        </w:tc>
        <w:tc>
          <w:tcPr>
            <w:tcW w:w="950" w:type="dxa"/>
            <w:tcBorders>
              <w:top w:val="single" w:color="000000" w:sz="2" w:space="0"/>
              <w:bottom w:val="single" w:color="000000" w:sz="2" w:space="0"/>
            </w:tcBorders>
            <w:noWrap w:val="0"/>
            <w:vAlign w:val="top"/>
          </w:tcPr>
          <w:p>
            <w:pPr>
              <w:rPr>
                <w:rFonts w:ascii="Arial"/>
                <w:sz w:val="21"/>
              </w:rPr>
            </w:pPr>
          </w:p>
        </w:tc>
        <w:tc>
          <w:tcPr>
            <w:tcW w:w="873" w:type="dxa"/>
            <w:tcBorders>
              <w:top w:val="single" w:color="000000" w:sz="2" w:space="0"/>
              <w:bottom w:val="single" w:color="000000" w:sz="2" w:space="0"/>
            </w:tcBorders>
            <w:noWrap w:val="0"/>
            <w:vAlign w:val="top"/>
          </w:tcPr>
          <w:p>
            <w:pPr>
              <w:rPr>
                <w:rFonts w:ascii="Arial"/>
                <w:sz w:val="21"/>
              </w:rPr>
            </w:pPr>
          </w:p>
        </w:tc>
        <w:tc>
          <w:tcPr>
            <w:tcW w:w="889" w:type="dxa"/>
            <w:tcBorders>
              <w:top w:val="single" w:color="000000" w:sz="2" w:space="0"/>
              <w:bottom w:val="single" w:color="000000" w:sz="2" w:space="0"/>
            </w:tcBorders>
            <w:noWrap w:val="0"/>
            <w:vAlign w:val="top"/>
          </w:tcPr>
          <w:p>
            <w:pPr>
              <w:rPr>
                <w:rFonts w:ascii="Arial"/>
                <w:sz w:val="21"/>
              </w:rPr>
            </w:pPr>
          </w:p>
        </w:tc>
        <w:tc>
          <w:tcPr>
            <w:tcW w:w="799" w:type="dxa"/>
            <w:tcBorders>
              <w:top w:val="single" w:color="000000" w:sz="2" w:space="0"/>
              <w:bottom w:val="single" w:color="000000" w:sz="2" w:space="0"/>
            </w:tcBorders>
            <w:noWrap w:val="0"/>
            <w:vAlign w:val="top"/>
          </w:tcPr>
          <w:p>
            <w:pPr>
              <w:rPr>
                <w:rFonts w:ascii="Arial"/>
                <w:sz w:val="21"/>
              </w:rPr>
            </w:pPr>
          </w:p>
        </w:tc>
        <w:tc>
          <w:tcPr>
            <w:tcW w:w="770" w:type="dxa"/>
            <w:tcBorders>
              <w:top w:val="single" w:color="000000" w:sz="2" w:space="0"/>
              <w:bottom w:val="single" w:color="000000" w:sz="2" w:space="0"/>
            </w:tcBorders>
            <w:noWrap w:val="0"/>
            <w:vAlign w:val="top"/>
          </w:tcPr>
          <w:p>
            <w:pPr>
              <w:rPr>
                <w:rFonts w:ascii="Arial"/>
                <w:sz w:val="21"/>
              </w:rPr>
            </w:pPr>
          </w:p>
        </w:tc>
        <w:tc>
          <w:tcPr>
            <w:tcW w:w="780" w:type="dxa"/>
            <w:tcBorders>
              <w:top w:val="single" w:color="000000" w:sz="2" w:space="0"/>
              <w:bottom w:val="single" w:color="000000" w:sz="2" w:space="0"/>
            </w:tcBorders>
            <w:noWrap w:val="0"/>
            <w:vAlign w:val="top"/>
          </w:tcPr>
          <w:p>
            <w:pPr>
              <w:rPr>
                <w:rFonts w:ascii="Arial"/>
                <w:sz w:val="21"/>
              </w:rPr>
            </w:pPr>
          </w:p>
        </w:tc>
        <w:tc>
          <w:tcPr>
            <w:tcW w:w="750" w:type="dxa"/>
            <w:tcBorders>
              <w:top w:val="single" w:color="000000" w:sz="2" w:space="0"/>
              <w:bottom w:val="single" w:color="000000" w:sz="2" w:space="0"/>
            </w:tcBorders>
            <w:noWrap w:val="0"/>
            <w:vAlign w:val="top"/>
          </w:tcPr>
          <w:p>
            <w:pPr>
              <w:rPr>
                <w:rFonts w:ascii="Arial"/>
                <w:sz w:val="21"/>
              </w:rPr>
            </w:pPr>
          </w:p>
        </w:tc>
        <w:tc>
          <w:tcPr>
            <w:tcW w:w="809" w:type="dxa"/>
            <w:tcBorders>
              <w:top w:val="single" w:color="000000" w:sz="2" w:space="0"/>
              <w:bottom w:val="single" w:color="000000" w:sz="2" w:space="0"/>
            </w:tcBorders>
            <w:noWrap w:val="0"/>
            <w:vAlign w:val="top"/>
          </w:tcPr>
          <w:p>
            <w:pPr>
              <w:rPr>
                <w:rFonts w:ascii="Arial"/>
                <w:sz w:val="21"/>
              </w:rPr>
            </w:pPr>
          </w:p>
        </w:tc>
        <w:tc>
          <w:tcPr>
            <w:tcW w:w="799" w:type="dxa"/>
            <w:tcBorders>
              <w:top w:val="single" w:color="000000" w:sz="2" w:space="0"/>
              <w:bottom w:val="single" w:color="000000" w:sz="2" w:space="0"/>
            </w:tcBorders>
            <w:noWrap w:val="0"/>
            <w:vAlign w:val="top"/>
          </w:tcPr>
          <w:p>
            <w:pPr>
              <w:rPr>
                <w:rFonts w:ascii="Arial"/>
                <w:sz w:val="21"/>
              </w:rPr>
            </w:pPr>
          </w:p>
        </w:tc>
        <w:tc>
          <w:tcPr>
            <w:tcW w:w="969" w:type="dxa"/>
            <w:tcBorders>
              <w:top w:val="single" w:color="000000" w:sz="2" w:space="0"/>
              <w:bottom w:val="single" w:color="000000" w:sz="2" w:space="0"/>
            </w:tcBorders>
            <w:noWrap w:val="0"/>
            <w:vAlign w:val="top"/>
          </w:tcPr>
          <w:p>
            <w:pPr>
              <w:rPr>
                <w:rFonts w:ascii="Arial"/>
                <w:sz w:val="21"/>
              </w:rPr>
            </w:pPr>
          </w:p>
        </w:tc>
        <w:tc>
          <w:tcPr>
            <w:tcW w:w="690" w:type="dxa"/>
            <w:tcBorders>
              <w:top w:val="single" w:color="000000" w:sz="2" w:space="0"/>
              <w:bottom w:val="single" w:color="000000" w:sz="2" w:space="0"/>
            </w:tcBorders>
            <w:noWrap w:val="0"/>
            <w:vAlign w:val="top"/>
          </w:tcPr>
          <w:p>
            <w:pPr>
              <w:rPr>
                <w:rFonts w:ascii="Arial"/>
                <w:sz w:val="21"/>
              </w:rPr>
            </w:pPr>
          </w:p>
        </w:tc>
        <w:tc>
          <w:tcPr>
            <w:tcW w:w="68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trPr>
        <w:tc>
          <w:tcPr>
            <w:tcW w:w="14472" w:type="dxa"/>
            <w:gridSpan w:val="17"/>
            <w:tcBorders>
              <w:top w:val="single" w:color="000000" w:sz="2" w:space="0"/>
              <w:bottom w:val="single" w:color="000000" w:sz="2" w:space="0"/>
            </w:tcBorders>
            <w:noWrap w:val="0"/>
            <w:vAlign w:val="top"/>
          </w:tcPr>
          <w:p>
            <w:pPr>
              <w:spacing w:before="77" w:line="219" w:lineRule="auto"/>
              <w:ind w:left="45"/>
              <w:rPr>
                <w:rFonts w:ascii="宋体" w:hAnsi="宋体" w:eastAsia="宋体" w:cs="宋体"/>
                <w:sz w:val="21"/>
                <w:szCs w:val="21"/>
              </w:rPr>
            </w:pPr>
            <w:r>
              <w:rPr>
                <w:rFonts w:ascii="宋体" w:hAnsi="宋体" w:eastAsia="宋体" w:cs="宋体"/>
                <w:spacing w:val="19"/>
                <w:sz w:val="21"/>
                <w:szCs w:val="21"/>
              </w:rPr>
              <w:t>填写说明：</w:t>
            </w:r>
          </w:p>
          <w:p>
            <w:pPr>
              <w:numPr>
                <w:ilvl w:val="0"/>
                <w:numId w:val="1"/>
              </w:numPr>
              <w:spacing w:before="41" w:line="283" w:lineRule="auto"/>
              <w:ind w:left="45"/>
              <w:rPr>
                <w:rFonts w:ascii="宋体" w:hAnsi="宋体" w:eastAsia="宋体" w:cs="宋体"/>
                <w:sz w:val="20"/>
                <w:szCs w:val="20"/>
              </w:rPr>
            </w:pPr>
            <w:r>
              <w:rPr>
                <w:rFonts w:ascii="宋体" w:hAnsi="宋体" w:eastAsia="宋体" w:cs="宋体"/>
                <w:spacing w:val="9"/>
                <w:sz w:val="20"/>
                <w:szCs w:val="20"/>
              </w:rPr>
              <w:t>.企业分类：分为管道燃气、瓶装液化气、汽车加气</w:t>
            </w:r>
            <w:r>
              <w:rPr>
                <w:rFonts w:ascii="宋体" w:hAnsi="宋体" w:eastAsia="宋体" w:cs="宋体"/>
                <w:sz w:val="20"/>
                <w:szCs w:val="20"/>
              </w:rPr>
              <w:t xml:space="preserve">                                                                                            </w:t>
            </w:r>
          </w:p>
          <w:p>
            <w:pPr>
              <w:numPr>
                <w:ilvl w:val="0"/>
                <w:numId w:val="1"/>
              </w:numPr>
              <w:spacing w:before="41" w:line="283" w:lineRule="auto"/>
              <w:ind w:left="45" w:leftChars="0" w:firstLine="0" w:firstLineChars="0"/>
              <w:rPr>
                <w:rFonts w:ascii="宋体" w:hAnsi="宋体" w:eastAsia="宋体" w:cs="宋体"/>
                <w:sz w:val="20"/>
                <w:szCs w:val="20"/>
              </w:rPr>
            </w:pPr>
            <w:r>
              <w:rPr>
                <w:rFonts w:ascii="宋体" w:hAnsi="宋体" w:eastAsia="宋体" w:cs="宋体"/>
                <w:spacing w:val="10"/>
                <w:sz w:val="20"/>
                <w:szCs w:val="20"/>
              </w:rPr>
              <w:t>安</w:t>
            </w:r>
            <w:r>
              <w:rPr>
                <w:rFonts w:ascii="宋体" w:hAnsi="宋体" w:eastAsia="宋体" w:cs="宋体"/>
                <w:spacing w:val="9"/>
                <w:sz w:val="20"/>
                <w:szCs w:val="20"/>
              </w:rPr>
              <w:t>全风险隐患类别：包括燃气经营、燃气工程、燃气管道设施、燃气场站风险、非居民燃气安全、安全监管信息平台。</w:t>
            </w:r>
            <w:r>
              <w:rPr>
                <w:rFonts w:ascii="宋体" w:hAnsi="宋体" w:eastAsia="宋体" w:cs="宋体"/>
                <w:sz w:val="20"/>
                <w:szCs w:val="20"/>
              </w:rPr>
              <w:t xml:space="preserve">                             </w:t>
            </w:r>
          </w:p>
          <w:p>
            <w:pPr>
              <w:numPr>
                <w:ilvl w:val="0"/>
                <w:numId w:val="0"/>
              </w:numPr>
              <w:spacing w:before="41" w:line="283" w:lineRule="auto"/>
              <w:rPr>
                <w:rFonts w:ascii="宋体" w:hAnsi="宋体" w:eastAsia="宋体" w:cs="宋体"/>
                <w:sz w:val="20"/>
                <w:szCs w:val="20"/>
              </w:rPr>
            </w:pPr>
            <w:r>
              <w:rPr>
                <w:rFonts w:ascii="宋体" w:hAnsi="宋体" w:eastAsia="宋体" w:cs="宋体"/>
                <w:spacing w:val="3"/>
                <w:sz w:val="20"/>
                <w:szCs w:val="20"/>
              </w:rPr>
              <w:t>3.安全风险隐患类型是对安全风险隐患类别的具体内容细分：燃气经营主要包括资质证照、制度规程、应急能力、安全投入、安全教育培训</w:t>
            </w:r>
            <w:r>
              <w:rPr>
                <w:rFonts w:ascii="宋体" w:hAnsi="宋体" w:eastAsia="宋体" w:cs="宋体"/>
                <w:color w:val="481600"/>
                <w:spacing w:val="3"/>
                <w:sz w:val="20"/>
                <w:szCs w:val="20"/>
              </w:rPr>
              <w:t>川</w:t>
            </w:r>
            <w:r>
              <w:rPr>
                <w:rFonts w:ascii="宋体" w:hAnsi="宋体" w:eastAsia="宋体" w:cs="宋体"/>
                <w:sz w:val="20"/>
                <w:szCs w:val="20"/>
              </w:rPr>
              <w:t>I</w:t>
            </w:r>
            <w:r>
              <w:rPr>
                <w:rFonts w:ascii="宋体" w:hAnsi="宋体" w:eastAsia="宋体" w:cs="宋体"/>
                <w:spacing w:val="3"/>
                <w:sz w:val="20"/>
                <w:szCs w:val="20"/>
              </w:rPr>
              <w:t>等;燃气工程主要</w:t>
            </w:r>
            <w:r>
              <w:rPr>
                <w:rFonts w:ascii="宋体" w:hAnsi="宋体" w:eastAsia="宋体" w:cs="宋体"/>
                <w:sz w:val="20"/>
                <w:szCs w:val="20"/>
              </w:rPr>
              <w:t xml:space="preserve"> </w:t>
            </w:r>
            <w:r>
              <w:rPr>
                <w:rFonts w:ascii="宋体" w:hAnsi="宋体" w:eastAsia="宋体" w:cs="宋体"/>
                <w:spacing w:val="16"/>
                <w:sz w:val="20"/>
                <w:szCs w:val="20"/>
              </w:rPr>
              <w:t>包括施工</w:t>
            </w:r>
            <w:r>
              <w:rPr>
                <w:rFonts w:ascii="宋体" w:hAnsi="宋体" w:eastAsia="宋体" w:cs="宋体"/>
                <w:spacing w:val="8"/>
                <w:sz w:val="20"/>
                <w:szCs w:val="20"/>
              </w:rPr>
              <w:t>手续资质、施工现场等;燃气管道设施主要包括违法占压、钢管锈蚀等;燃气场站风险主要包括安全间距、设备设施等</w:t>
            </w:r>
            <w:r>
              <w:rPr>
                <w:rFonts w:ascii="宋体" w:hAnsi="宋体" w:eastAsia="宋体" w:cs="宋体"/>
                <w:color w:val="00275B"/>
                <w:spacing w:val="8"/>
                <w:sz w:val="20"/>
                <w:szCs w:val="20"/>
              </w:rPr>
              <w:t xml:space="preserve">; </w:t>
            </w:r>
            <w:r>
              <w:rPr>
                <w:rFonts w:ascii="宋体" w:hAnsi="宋体" w:eastAsia="宋体" w:cs="宋体"/>
                <w:spacing w:val="8"/>
                <w:sz w:val="20"/>
                <w:szCs w:val="20"/>
              </w:rPr>
              <w:t>非居民用户燃气安全主要包</w:t>
            </w:r>
            <w:r>
              <w:rPr>
                <w:rFonts w:ascii="宋体" w:hAnsi="宋体" w:eastAsia="宋体" w:cs="宋体"/>
                <w:sz w:val="20"/>
                <w:szCs w:val="20"/>
              </w:rPr>
              <w:t xml:space="preserve"> </w:t>
            </w:r>
            <w:r>
              <w:rPr>
                <w:rFonts w:ascii="宋体" w:hAnsi="宋体" w:eastAsia="宋体" w:cs="宋体"/>
                <w:spacing w:val="10"/>
                <w:sz w:val="20"/>
                <w:szCs w:val="20"/>
              </w:rPr>
              <w:t>括燃气具、报警器及联动切断装置、连接软管、液化气钢瓶检定等;安全监管信息化平台主要包括管网地理信息系统、</w:t>
            </w:r>
            <w:r>
              <w:rPr>
                <w:rFonts w:ascii="宋体" w:hAnsi="宋体" w:eastAsia="宋体" w:cs="宋体"/>
                <w:sz w:val="20"/>
                <w:szCs w:val="20"/>
              </w:rPr>
              <w:t>SCADA</w:t>
            </w:r>
            <w:r>
              <w:rPr>
                <w:rFonts w:ascii="宋体" w:hAnsi="宋体" w:eastAsia="宋体" w:cs="宋体"/>
                <w:spacing w:val="10"/>
                <w:sz w:val="20"/>
                <w:szCs w:val="20"/>
              </w:rPr>
              <w:t>系统等</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8"/>
                <w:sz w:val="20"/>
                <w:szCs w:val="20"/>
              </w:rPr>
              <w:t>4</w:t>
            </w:r>
            <w:r>
              <w:rPr>
                <w:rFonts w:ascii="宋体" w:hAnsi="宋体" w:eastAsia="宋体" w:cs="宋体"/>
                <w:spacing w:val="9"/>
                <w:sz w:val="20"/>
                <w:szCs w:val="20"/>
              </w:rPr>
              <w:t>.安全风险隐患</w:t>
            </w:r>
            <w:r>
              <w:rPr>
                <w:rFonts w:hint="eastAsia" w:ascii="宋体" w:hAnsi="宋体" w:eastAsia="宋体" w:cs="宋体"/>
                <w:spacing w:val="9"/>
                <w:sz w:val="20"/>
                <w:szCs w:val="20"/>
                <w:lang w:eastAsia="zh-CN"/>
              </w:rPr>
              <w:t>等级</w:t>
            </w:r>
            <w:r>
              <w:rPr>
                <w:rFonts w:ascii="宋体" w:hAnsi="宋体" w:eastAsia="宋体" w:cs="宋体"/>
                <w:spacing w:val="9"/>
                <w:sz w:val="20"/>
                <w:szCs w:val="20"/>
              </w:rPr>
              <w:t>：分为重大隐患、一般隐患。</w:t>
            </w:r>
          </w:p>
          <w:p>
            <w:pPr>
              <w:spacing w:line="219" w:lineRule="auto"/>
              <w:ind w:left="45"/>
              <w:rPr>
                <w:rFonts w:ascii="宋体" w:hAnsi="宋体" w:eastAsia="宋体" w:cs="宋体"/>
                <w:sz w:val="21"/>
                <w:szCs w:val="21"/>
              </w:rPr>
            </w:pPr>
            <w:r>
              <w:rPr>
                <w:rFonts w:ascii="宋体" w:hAnsi="宋体" w:eastAsia="宋体" w:cs="宋体"/>
                <w:color w:val="001D50"/>
                <w:spacing w:val="2"/>
                <w:sz w:val="21"/>
                <w:szCs w:val="21"/>
              </w:rPr>
              <w:t>5</w:t>
            </w:r>
            <w:r>
              <w:rPr>
                <w:rFonts w:ascii="宋体" w:hAnsi="宋体" w:eastAsia="宋体" w:cs="宋体"/>
                <w:spacing w:val="2"/>
                <w:sz w:val="21"/>
                <w:szCs w:val="21"/>
              </w:rPr>
              <w:t>.整改完成时限：具</w:t>
            </w:r>
            <w:r>
              <w:rPr>
                <w:rFonts w:ascii="宋体" w:hAnsi="宋体" w:eastAsia="宋体" w:cs="宋体"/>
                <w:color w:val="004472"/>
                <w:spacing w:val="2"/>
                <w:sz w:val="21"/>
                <w:szCs w:val="21"/>
              </w:rPr>
              <w:t>体到</w:t>
            </w:r>
            <w:r>
              <w:rPr>
                <w:rFonts w:ascii="宋体" w:hAnsi="宋体" w:eastAsia="宋体" w:cs="宋体"/>
                <w:spacing w:val="2"/>
                <w:sz w:val="21"/>
                <w:szCs w:val="21"/>
              </w:rPr>
              <w:t>隐患整改完成的年</w:t>
            </w:r>
            <w:r>
              <w:rPr>
                <w:rFonts w:ascii="宋体" w:hAnsi="宋体" w:eastAsia="宋体" w:cs="宋体"/>
                <w:sz w:val="21"/>
                <w:szCs w:val="21"/>
              </w:rPr>
              <w:t>月日</w:t>
            </w:r>
          </w:p>
          <w:p>
            <w:pPr>
              <w:spacing w:before="40" w:line="219" w:lineRule="auto"/>
              <w:ind w:left="45"/>
              <w:rPr>
                <w:rFonts w:ascii="宋体" w:hAnsi="宋体" w:eastAsia="宋体" w:cs="宋体"/>
                <w:sz w:val="21"/>
                <w:szCs w:val="21"/>
              </w:rPr>
            </w:pPr>
            <w:r>
              <w:rPr>
                <w:rFonts w:ascii="宋体" w:hAnsi="宋体" w:eastAsia="宋体" w:cs="宋体"/>
                <w:color w:val="001545"/>
                <w:spacing w:val="1"/>
                <w:sz w:val="21"/>
                <w:szCs w:val="21"/>
              </w:rPr>
              <w:t>6</w:t>
            </w:r>
            <w:r>
              <w:rPr>
                <w:rFonts w:ascii="宋体" w:hAnsi="宋体" w:eastAsia="宋体" w:cs="宋体"/>
                <w:spacing w:val="1"/>
                <w:sz w:val="21"/>
                <w:szCs w:val="21"/>
              </w:rPr>
              <w:t>.整</w:t>
            </w:r>
            <w:r>
              <w:rPr>
                <w:rFonts w:ascii="宋体" w:hAnsi="宋体" w:eastAsia="宋体" w:cs="宋体"/>
                <w:sz w:val="21"/>
                <w:szCs w:val="21"/>
              </w:rPr>
              <w:t>改进度情况：具体分为已整改、正在整改、未整改</w:t>
            </w:r>
          </w:p>
        </w:tc>
      </w:tr>
    </w:tbl>
    <w:p>
      <w:pPr>
        <w:spacing w:line="14" w:lineRule="auto"/>
        <w:rPr>
          <w:rFonts w:ascii="Arial"/>
          <w:sz w:val="2"/>
        </w:rPr>
      </w:pPr>
      <w:r>
        <w:rPr>
          <w:rFonts w:ascii="Arial" w:hAnsi="Arial" w:eastAsia="Arial" w:cs="Arial"/>
          <w:sz w:val="2"/>
          <w:szCs w:val="2"/>
        </w:rPr>
        <w:br w:type="column"/>
      </w:r>
    </w:p>
    <w:p>
      <w:pPr>
        <w:spacing w:before="71" w:line="205" w:lineRule="auto"/>
        <w:rPr>
          <w:rFonts w:ascii="宋体" w:hAnsi="宋体" w:eastAsia="宋体" w:cs="宋体"/>
          <w:sz w:val="28"/>
          <w:szCs w:val="28"/>
        </w:rPr>
      </w:pPr>
      <w:r>
        <w:rPr>
          <w:rFonts w:ascii="宋体" w:hAnsi="宋体" w:eastAsia="宋体" w:cs="宋体"/>
          <w:spacing w:val="-14"/>
          <w:sz w:val="28"/>
          <w:szCs w:val="28"/>
        </w:rPr>
        <w:t>填报</w:t>
      </w:r>
      <w:r>
        <w:rPr>
          <w:rFonts w:ascii="宋体" w:hAnsi="宋体" w:eastAsia="宋体" w:cs="宋体"/>
          <w:spacing w:val="-7"/>
          <w:sz w:val="28"/>
          <w:szCs w:val="28"/>
        </w:rPr>
        <w:t>日期：    年   月   日</w:t>
      </w:r>
    </w:p>
    <w:p>
      <w:pPr>
        <w:sectPr>
          <w:type w:val="continuous"/>
          <w:pgSz w:w="16980" w:h="11960"/>
          <w:pgMar w:top="1695" w:right="1615" w:bottom="1535" w:left="1084" w:header="0" w:footer="1214" w:gutter="0"/>
          <w:cols w:equalWidth="0" w:num="2">
            <w:col w:w="10566" w:space="100"/>
            <w:col w:w="3615"/>
          </w:cols>
        </w:sectPr>
      </w:pPr>
    </w:p>
    <w:p>
      <w:pPr>
        <w:keepNext w:val="0"/>
        <w:keepLines w:val="0"/>
        <w:pageBreakBefore w:val="0"/>
        <w:widowControl w:val="0"/>
        <w:kinsoku/>
        <w:wordWrap/>
        <w:overflowPunct/>
        <w:topLinePunct w:val="0"/>
        <w:autoSpaceDE/>
        <w:autoSpaceDN/>
        <w:bidi w:val="0"/>
        <w:adjustRightInd/>
        <w:snapToGrid/>
        <w:spacing w:before="110" w:line="260" w:lineRule="exact"/>
        <w:textAlignment w:val="auto"/>
        <w:outlineLvl w:val="9"/>
        <w:rPr>
          <w:rFonts w:hint="eastAsia" w:ascii="黑体" w:hAnsi="黑体" w:eastAsia="黑体" w:cs="黑体"/>
          <w:sz w:val="28"/>
          <w:szCs w:val="28"/>
          <w:lang w:eastAsia="zh-CN"/>
        </w:rPr>
      </w:pPr>
      <w:r>
        <w:rPr>
          <w:rFonts w:ascii="黑体" w:hAnsi="黑体" w:eastAsia="黑体" w:cs="黑体"/>
          <w:spacing w:val="-6"/>
          <w:sz w:val="28"/>
          <w:szCs w:val="28"/>
        </w:rPr>
        <w:t>附</w:t>
      </w:r>
      <w:r>
        <w:rPr>
          <w:rFonts w:ascii="黑体" w:hAnsi="黑体" w:eastAsia="黑体" w:cs="黑体"/>
          <w:spacing w:val="-5"/>
          <w:sz w:val="28"/>
          <w:szCs w:val="28"/>
        </w:rPr>
        <w:t>件</w:t>
      </w:r>
      <w:r>
        <w:rPr>
          <w:rFonts w:hint="eastAsia" w:ascii="黑体" w:hAnsi="黑体" w:eastAsia="黑体" w:cs="黑体"/>
          <w:spacing w:val="-5"/>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before="140" w:line="260" w:lineRule="exact"/>
        <w:ind w:left="1670"/>
        <w:textAlignment w:val="auto"/>
        <w:outlineLvl w:val="9"/>
        <w:rPr>
          <w:rFonts w:ascii="宋体" w:hAnsi="宋体" w:eastAsia="宋体" w:cs="宋体"/>
          <w:sz w:val="43"/>
          <w:szCs w:val="43"/>
        </w:rPr>
      </w:pPr>
      <w:r>
        <w:rPr>
          <w:rFonts w:ascii="宋体" w:hAnsi="宋体" w:eastAsia="宋体" w:cs="宋体"/>
          <w:spacing w:val="-18"/>
          <w:sz w:val="43"/>
          <w:szCs w:val="43"/>
        </w:rPr>
        <w:t>百</w:t>
      </w:r>
      <w:r>
        <w:rPr>
          <w:rFonts w:ascii="宋体" w:hAnsi="宋体" w:eastAsia="宋体" w:cs="宋体"/>
          <w:spacing w:val="-11"/>
          <w:sz w:val="43"/>
          <w:szCs w:val="43"/>
        </w:rPr>
        <w:t>日行动整治分片包干分工表</w:t>
      </w:r>
    </w:p>
    <w:tbl>
      <w:tblPr>
        <w:tblStyle w:val="13"/>
        <w:tblpPr w:leftFromText="180" w:rightFromText="180" w:vertAnchor="text" w:horzAnchor="page" w:tblpX="1218" w:tblpY="5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2573"/>
        <w:gridCol w:w="1762"/>
        <w:gridCol w:w="2309"/>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组别</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联系人</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5"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分包片区及联系人</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区城管局联系人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一组</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区农业农村和水利局</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pacing w:val="3"/>
                <w:sz w:val="24"/>
                <w:szCs w:val="24"/>
                <w:lang w:val="en-US" w:eastAsia="zh-CN"/>
              </w:rPr>
            </w:pPr>
            <w:r>
              <w:rPr>
                <w:rFonts w:hint="eastAsia" w:ascii="黑体" w:hAnsi="黑体" w:eastAsia="黑体" w:cs="黑体"/>
                <w:spacing w:val="3"/>
                <w:sz w:val="24"/>
                <w:szCs w:val="24"/>
                <w:lang w:val="en-US" w:eastAsia="zh-CN"/>
              </w:rPr>
              <w:t>任理想18003900026</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5" w:line="260" w:lineRule="exact"/>
              <w:jc w:val="center"/>
              <w:textAlignment w:val="auto"/>
              <w:outlineLvl w:val="9"/>
              <w:rPr>
                <w:rFonts w:hint="eastAsia"/>
                <w:lang w:val="en-US" w:eastAsia="zh-CN"/>
              </w:rPr>
            </w:pPr>
            <w:r>
              <w:rPr>
                <w:rFonts w:hint="eastAsia"/>
                <w:lang w:val="en-US" w:eastAsia="zh-CN"/>
              </w:rPr>
              <w:t>曹镇乡 李留发</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pacing w:val="5"/>
                <w:sz w:val="24"/>
                <w:szCs w:val="24"/>
                <w:lang w:val="en-US" w:eastAsia="zh-CN"/>
              </w:rPr>
              <w:t>13071750268</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pacing w:val="3"/>
                <w:sz w:val="24"/>
                <w:szCs w:val="24"/>
                <w:lang w:val="en-US" w:eastAsia="zh-CN"/>
              </w:rPr>
            </w:pPr>
            <w:r>
              <w:rPr>
                <w:rFonts w:hint="eastAsia" w:ascii="黑体" w:hAnsi="黑体" w:eastAsia="黑体" w:cs="黑体"/>
                <w:sz w:val="24"/>
                <w:szCs w:val="24"/>
                <w:lang w:val="en-US" w:eastAsia="zh-CN"/>
              </w:rPr>
              <w:t>周培楠15837599971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二组</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pacing w:val="3"/>
                <w:sz w:val="24"/>
                <w:szCs w:val="24"/>
                <w:lang w:val="en-US" w:eastAsia="zh-CN"/>
              </w:rPr>
              <w:t>区</w:t>
            </w:r>
            <w:r>
              <w:rPr>
                <w:rFonts w:hint="eastAsia" w:ascii="黑体" w:hAnsi="黑体" w:eastAsia="黑体" w:cs="黑体"/>
                <w:spacing w:val="2"/>
                <w:sz w:val="24"/>
                <w:szCs w:val="24"/>
              </w:rPr>
              <w:t>交通运输</w:t>
            </w:r>
            <w:r>
              <w:rPr>
                <w:rFonts w:hint="eastAsia" w:ascii="黑体" w:hAnsi="黑体" w:eastAsia="黑体" w:cs="黑体"/>
                <w:spacing w:val="2"/>
                <w:sz w:val="24"/>
                <w:szCs w:val="24"/>
                <w:lang w:eastAsia="zh-CN"/>
              </w:rPr>
              <w:t>局</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张伟13849583631</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lang w:val="en-US" w:eastAsia="zh-CN"/>
              </w:rPr>
            </w:pPr>
            <w:r>
              <w:rPr>
                <w:rFonts w:hint="eastAsia"/>
                <w:lang w:val="en-US" w:eastAsia="zh-CN"/>
              </w:rPr>
              <w:t>荆山街道 刘国耀</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z w:val="24"/>
                <w:szCs w:val="24"/>
                <w:lang w:val="en-US" w:eastAsia="zh-CN"/>
              </w:rPr>
              <w:t>13783258968</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张亚敏</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lang w:val="en-US" w:eastAsia="zh-CN"/>
              </w:rPr>
            </w:pPr>
            <w:r>
              <w:rPr>
                <w:rFonts w:hint="eastAsia" w:ascii="黑体" w:hAnsi="黑体" w:eastAsia="黑体" w:cs="黑体"/>
                <w:sz w:val="24"/>
                <w:szCs w:val="24"/>
                <w:lang w:val="en-US" w:eastAsia="zh-CN"/>
              </w:rPr>
              <w:t>13700750800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三组</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lang w:eastAsia="zh-CN"/>
              </w:rPr>
              <w:t>城市管理局</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张召辉</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pacing w:val="2"/>
                <w:sz w:val="24"/>
                <w:szCs w:val="24"/>
                <w:lang w:val="en-US" w:eastAsia="zh-CN"/>
              </w:rPr>
              <w:t>13137519168</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 xml:space="preserve">北渡街道 </w:t>
            </w:r>
            <w:r>
              <w:rPr>
                <w:rFonts w:hint="eastAsia" w:ascii="黑体" w:hAnsi="黑体" w:eastAsia="黑体" w:cs="黑体"/>
                <w:spacing w:val="4"/>
                <w:sz w:val="24"/>
                <w:szCs w:val="24"/>
                <w:lang w:val="en-US" w:eastAsia="zh-CN"/>
              </w:rPr>
              <w:t>于国权13938661221</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lang w:val="en-US" w:eastAsia="zh-CN"/>
              </w:rPr>
            </w:pPr>
            <w:r>
              <w:rPr>
                <w:rFonts w:hint="eastAsia"/>
                <w:lang w:eastAsia="zh-CN"/>
              </w:rPr>
              <w:t>张</w:t>
            </w:r>
            <w:r>
              <w:rPr>
                <w:rFonts w:hint="eastAsia"/>
                <w:lang w:val="en-US" w:eastAsia="zh-CN"/>
              </w:rPr>
              <w:t xml:space="preserve">  娟</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lang w:val="en-US" w:eastAsia="zh-CN"/>
              </w:rPr>
            </w:pPr>
            <w:r>
              <w:rPr>
                <w:rFonts w:hint="eastAsia" w:ascii="黑体" w:hAnsi="黑体" w:eastAsia="黑体" w:cs="黑体"/>
                <w:sz w:val="24"/>
                <w:szCs w:val="24"/>
                <w:lang w:val="en-US" w:eastAsia="zh-CN"/>
              </w:rPr>
              <w:t>18239730963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505"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四组</w:t>
            </w:r>
          </w:p>
        </w:tc>
        <w:tc>
          <w:tcPr>
            <w:tcW w:w="2573" w:type="dxa"/>
            <w:tcBorders>
              <w:top w:val="single" w:color="000000"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pacing w:val="3"/>
                <w:sz w:val="24"/>
                <w:szCs w:val="24"/>
                <w:lang w:val="en-US" w:eastAsia="zh-CN"/>
              </w:rPr>
              <w:t>区</w:t>
            </w:r>
            <w:r>
              <w:rPr>
                <w:rFonts w:hint="eastAsia" w:ascii="黑体" w:hAnsi="黑体" w:eastAsia="黑体" w:cs="黑体"/>
                <w:spacing w:val="3"/>
                <w:sz w:val="24"/>
                <w:szCs w:val="24"/>
              </w:rPr>
              <w:t>商务</w:t>
            </w:r>
            <w:r>
              <w:rPr>
                <w:rFonts w:hint="eastAsia" w:ascii="黑体" w:hAnsi="黑体" w:eastAsia="黑体" w:cs="黑体"/>
                <w:spacing w:val="3"/>
                <w:sz w:val="24"/>
                <w:szCs w:val="24"/>
                <w:lang w:eastAsia="zh-CN"/>
              </w:rPr>
              <w:t>局</w:t>
            </w:r>
          </w:p>
        </w:tc>
        <w:tc>
          <w:tcPr>
            <w:tcW w:w="1762" w:type="dxa"/>
            <w:tcBorders>
              <w:top w:val="single" w:color="000000" w:sz="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3"/>
                <w:sz w:val="24"/>
                <w:szCs w:val="24"/>
                <w:lang w:val="en-US" w:eastAsia="zh-CN"/>
              </w:rPr>
            </w:pPr>
            <w:r>
              <w:rPr>
                <w:rFonts w:hint="eastAsia" w:ascii="黑体" w:hAnsi="黑体" w:eastAsia="黑体" w:cs="黑体"/>
                <w:spacing w:val="3"/>
                <w:sz w:val="24"/>
                <w:szCs w:val="24"/>
                <w:lang w:val="en-US" w:eastAsia="zh-CN"/>
              </w:rPr>
              <w:t>崔志勇15837539155</w:t>
            </w:r>
          </w:p>
        </w:tc>
        <w:tc>
          <w:tcPr>
            <w:tcW w:w="2309"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马庄街道 左宇新</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488" w:firstLineChars="200"/>
              <w:jc w:val="both"/>
              <w:textAlignment w:val="auto"/>
              <w:outlineLvl w:val="9"/>
              <w:rPr>
                <w:rFonts w:hint="eastAsia"/>
                <w:lang w:val="en-US"/>
              </w:rPr>
            </w:pPr>
            <w:r>
              <w:rPr>
                <w:rFonts w:hint="eastAsia" w:ascii="黑体" w:hAnsi="黑体" w:eastAsia="黑体" w:cs="黑体"/>
                <w:spacing w:val="2"/>
                <w:sz w:val="24"/>
                <w:szCs w:val="24"/>
                <w:lang w:val="en-US" w:eastAsia="zh-CN"/>
              </w:rPr>
              <w:t>15903750668</w:t>
            </w:r>
          </w:p>
        </w:tc>
        <w:tc>
          <w:tcPr>
            <w:tcW w:w="1911" w:type="dxa"/>
            <w:vMerge w:val="restart"/>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张亚敏</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lang w:val="en-US" w:eastAsia="zh-CN"/>
              </w:rPr>
            </w:pPr>
            <w:r>
              <w:rPr>
                <w:rFonts w:hint="eastAsia" w:ascii="黑体" w:hAnsi="黑体" w:eastAsia="黑体" w:cs="黑体"/>
                <w:sz w:val="24"/>
                <w:szCs w:val="24"/>
                <w:lang w:val="en-US" w:eastAsia="zh-CN"/>
              </w:rPr>
              <w:t>13700750800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505"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4"/>
                <w:sz w:val="24"/>
                <w:szCs w:val="24"/>
              </w:rPr>
            </w:pPr>
          </w:p>
        </w:tc>
        <w:tc>
          <w:tcPr>
            <w:tcW w:w="2573" w:type="dxa"/>
            <w:tcBorders>
              <w:top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rPr>
              <w:t>文化旅游</w:t>
            </w:r>
            <w:r>
              <w:rPr>
                <w:rFonts w:hint="eastAsia" w:ascii="黑体" w:hAnsi="黑体" w:eastAsia="黑体" w:cs="黑体"/>
                <w:spacing w:val="2"/>
                <w:sz w:val="24"/>
                <w:szCs w:val="24"/>
                <w:lang w:eastAsia="zh-CN"/>
              </w:rPr>
              <w:t>局</w:t>
            </w:r>
          </w:p>
        </w:tc>
        <w:tc>
          <w:tcPr>
            <w:tcW w:w="1762"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3"/>
                <w:sz w:val="24"/>
                <w:szCs w:val="24"/>
                <w:lang w:val="en-US" w:eastAsia="zh-CN"/>
              </w:rPr>
            </w:pPr>
            <w:r>
              <w:rPr>
                <w:rFonts w:hint="eastAsia" w:ascii="黑体" w:hAnsi="黑体" w:eastAsia="黑体" w:cs="黑体"/>
                <w:spacing w:val="3"/>
                <w:sz w:val="24"/>
                <w:szCs w:val="24"/>
                <w:lang w:val="en-US" w:eastAsia="zh-CN"/>
              </w:rPr>
              <w:t>宋亚辉13503757227</w:t>
            </w:r>
          </w:p>
        </w:tc>
        <w:tc>
          <w:tcPr>
            <w:tcW w:w="2309"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p>
        </w:tc>
        <w:tc>
          <w:tcPr>
            <w:tcW w:w="1911" w:type="dxa"/>
            <w:vMerge w:val="continue"/>
            <w:tcBorders>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3"/>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五组</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3"/>
                <w:sz w:val="24"/>
                <w:szCs w:val="24"/>
                <w:lang w:val="en-US" w:eastAsia="zh-CN"/>
              </w:rPr>
              <w:t>区</w:t>
            </w:r>
            <w:r>
              <w:rPr>
                <w:rFonts w:hint="eastAsia" w:ascii="黑体" w:hAnsi="黑体" w:eastAsia="黑体" w:cs="黑体"/>
                <w:spacing w:val="3"/>
                <w:sz w:val="24"/>
                <w:szCs w:val="24"/>
              </w:rPr>
              <w:t>教育</w:t>
            </w:r>
            <w:r>
              <w:rPr>
                <w:rFonts w:hint="eastAsia" w:ascii="黑体" w:hAnsi="黑体" w:eastAsia="黑体" w:cs="黑体"/>
                <w:spacing w:val="3"/>
                <w:sz w:val="24"/>
                <w:szCs w:val="24"/>
                <w:lang w:eastAsia="zh-CN"/>
              </w:rPr>
              <w:t>体育局</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郭磊</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13782443355</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南环路街道 李冠军</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pacing w:val="3"/>
                <w:sz w:val="24"/>
                <w:szCs w:val="24"/>
                <w:lang w:val="en-US" w:eastAsia="zh-CN"/>
              </w:rPr>
              <w:t>15037512903</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郭艳伟</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240" w:firstLineChars="100"/>
              <w:textAlignment w:val="auto"/>
              <w:outlineLvl w:val="9"/>
              <w:rPr>
                <w:rFonts w:hint="eastAsia"/>
                <w:lang w:val="en-US" w:eastAsia="zh-CN"/>
              </w:rPr>
            </w:pPr>
            <w:r>
              <w:rPr>
                <w:rFonts w:hint="eastAsia" w:ascii="黑体" w:hAnsi="黑体" w:eastAsia="黑体" w:cs="黑体"/>
                <w:sz w:val="24"/>
                <w:szCs w:val="24"/>
                <w:lang w:val="en-US" w:eastAsia="zh-CN"/>
              </w:rPr>
              <w:t>17703752787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05"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六组</w:t>
            </w:r>
          </w:p>
        </w:tc>
        <w:tc>
          <w:tcPr>
            <w:tcW w:w="2573" w:type="dxa"/>
            <w:tcBorders>
              <w:top w:val="single" w:color="000000"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pacing w:val="3"/>
                <w:sz w:val="24"/>
                <w:szCs w:val="24"/>
                <w:lang w:val="en-US" w:eastAsia="zh-CN"/>
              </w:rPr>
              <w:t>区</w:t>
            </w:r>
            <w:r>
              <w:rPr>
                <w:rFonts w:hint="eastAsia" w:ascii="黑体" w:hAnsi="黑体" w:eastAsia="黑体" w:cs="黑体"/>
                <w:spacing w:val="2"/>
                <w:sz w:val="24"/>
                <w:szCs w:val="24"/>
              </w:rPr>
              <w:t>应急管理</w:t>
            </w:r>
            <w:r>
              <w:rPr>
                <w:rFonts w:hint="eastAsia" w:ascii="黑体" w:hAnsi="黑体" w:eastAsia="黑体" w:cs="黑体"/>
                <w:spacing w:val="2"/>
                <w:sz w:val="24"/>
                <w:szCs w:val="24"/>
                <w:lang w:eastAsia="zh-CN"/>
              </w:rPr>
              <w:t>局</w:t>
            </w:r>
          </w:p>
        </w:tc>
        <w:tc>
          <w:tcPr>
            <w:tcW w:w="1762" w:type="dxa"/>
            <w:tcBorders>
              <w:top w:val="single" w:color="000000" w:sz="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刘国乾</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pacing w:val="2"/>
                <w:sz w:val="24"/>
                <w:szCs w:val="24"/>
                <w:lang w:val="en-US" w:eastAsia="zh-CN"/>
              </w:rPr>
              <w:t>13837525998</w:t>
            </w:r>
          </w:p>
        </w:tc>
        <w:tc>
          <w:tcPr>
            <w:tcW w:w="2309"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九里山街道 张国辉</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z w:val="24"/>
                <w:szCs w:val="24"/>
                <w:lang w:val="en-US" w:eastAsia="zh-CN"/>
              </w:rPr>
              <w:t>13523272693</w:t>
            </w:r>
          </w:p>
        </w:tc>
        <w:tc>
          <w:tcPr>
            <w:tcW w:w="1911" w:type="dxa"/>
            <w:vMerge w:val="restart"/>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郭艳伟</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240" w:firstLineChars="100"/>
              <w:textAlignment w:val="auto"/>
              <w:outlineLvl w:val="9"/>
              <w:rPr>
                <w:rFonts w:hint="eastAsia"/>
                <w:lang w:val="en-US" w:eastAsia="zh-CN"/>
              </w:rPr>
            </w:pPr>
            <w:r>
              <w:rPr>
                <w:rFonts w:hint="eastAsia" w:ascii="黑体" w:hAnsi="黑体" w:eastAsia="黑体" w:cs="黑体"/>
                <w:sz w:val="24"/>
                <w:szCs w:val="24"/>
                <w:lang w:val="en-US" w:eastAsia="zh-CN"/>
              </w:rPr>
              <w:t>17703752787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505"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4"/>
                <w:sz w:val="24"/>
                <w:szCs w:val="24"/>
              </w:rPr>
            </w:pPr>
          </w:p>
        </w:tc>
        <w:tc>
          <w:tcPr>
            <w:tcW w:w="2573" w:type="dxa"/>
            <w:tcBorders>
              <w:top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区消防救援大队</w:t>
            </w:r>
          </w:p>
        </w:tc>
        <w:tc>
          <w:tcPr>
            <w:tcW w:w="1762"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lang w:val="en-US" w:eastAsia="zh-CN"/>
              </w:rPr>
            </w:pPr>
            <w:r>
              <w:rPr>
                <w:rFonts w:hint="eastAsia"/>
                <w:lang w:val="en-US" w:eastAsia="zh-CN"/>
              </w:rPr>
              <w:t>吴刚</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lang w:val="en-US" w:eastAsia="zh-CN"/>
              </w:rPr>
            </w:pPr>
            <w:r>
              <w:rPr>
                <w:rFonts w:hint="eastAsia" w:ascii="黑体" w:hAnsi="黑体" w:eastAsia="黑体" w:cs="黑体"/>
                <w:spacing w:val="2"/>
                <w:sz w:val="24"/>
                <w:szCs w:val="24"/>
                <w:lang w:val="en-US" w:eastAsia="zh-CN"/>
              </w:rPr>
              <w:t>17637506789</w:t>
            </w:r>
          </w:p>
        </w:tc>
        <w:tc>
          <w:tcPr>
            <w:tcW w:w="2309"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val="en-US" w:eastAsia="zh-CN"/>
              </w:rPr>
            </w:pPr>
          </w:p>
        </w:tc>
        <w:tc>
          <w:tcPr>
            <w:tcW w:w="1911" w:type="dxa"/>
            <w:vMerge w:val="continue"/>
            <w:tcBorders>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ascii="黑体" w:hAnsi="黑体" w:eastAsia="黑体" w:cs="黑体"/>
                <w:spacing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505"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七组</w:t>
            </w:r>
          </w:p>
        </w:tc>
        <w:tc>
          <w:tcPr>
            <w:tcW w:w="2573" w:type="dxa"/>
            <w:tcBorders>
              <w:top w:val="single" w:color="000000"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3"/>
                <w:sz w:val="24"/>
                <w:szCs w:val="24"/>
                <w:lang w:val="en-US" w:eastAsia="zh-CN"/>
              </w:rPr>
              <w:t>区</w:t>
            </w:r>
            <w:r>
              <w:rPr>
                <w:rFonts w:hint="eastAsia" w:ascii="黑体" w:hAnsi="黑体" w:eastAsia="黑体" w:cs="黑体"/>
                <w:spacing w:val="3"/>
                <w:sz w:val="24"/>
                <w:szCs w:val="24"/>
                <w:lang w:eastAsia="zh-CN"/>
              </w:rPr>
              <w:t>公安</w:t>
            </w:r>
            <w:r>
              <w:rPr>
                <w:rFonts w:hint="eastAsia" w:ascii="黑体" w:hAnsi="黑体" w:eastAsia="黑体" w:cs="黑体"/>
                <w:spacing w:val="3"/>
                <w:sz w:val="24"/>
                <w:szCs w:val="24"/>
                <w:lang w:val="en-US" w:eastAsia="zh-CN"/>
              </w:rPr>
              <w:t>分</w:t>
            </w:r>
            <w:r>
              <w:rPr>
                <w:rFonts w:hint="eastAsia" w:ascii="黑体" w:hAnsi="黑体" w:eastAsia="黑体" w:cs="黑体"/>
                <w:spacing w:val="3"/>
                <w:sz w:val="24"/>
                <w:szCs w:val="24"/>
                <w:lang w:eastAsia="zh-CN"/>
              </w:rPr>
              <w:t>局</w:t>
            </w:r>
          </w:p>
        </w:tc>
        <w:tc>
          <w:tcPr>
            <w:tcW w:w="1762" w:type="dxa"/>
            <w:tcBorders>
              <w:top w:val="single" w:color="000000" w:sz="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魏海峰13503756786</w:t>
            </w:r>
          </w:p>
        </w:tc>
        <w:tc>
          <w:tcPr>
            <w:tcW w:w="2309"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姚孟街道 于红磊</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z w:val="24"/>
                <w:szCs w:val="24"/>
                <w:lang w:val="en-US" w:eastAsia="zh-CN"/>
              </w:rPr>
              <w:t>13781061789</w:t>
            </w:r>
          </w:p>
        </w:tc>
        <w:tc>
          <w:tcPr>
            <w:tcW w:w="1911" w:type="dxa"/>
            <w:vMerge w:val="restart"/>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lang w:val="en-US" w:eastAsia="zh-CN"/>
              </w:rPr>
            </w:pPr>
            <w:r>
              <w:rPr>
                <w:rFonts w:hint="eastAsia"/>
                <w:lang w:val="en-US" w:eastAsia="zh-CN"/>
              </w:rPr>
              <w:t>周会平</w:t>
            </w:r>
          </w:p>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z w:val="24"/>
                <w:szCs w:val="24"/>
                <w:lang w:val="en-US" w:eastAsia="zh-CN"/>
              </w:rPr>
              <w:t>13781075929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505"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4"/>
                <w:sz w:val="24"/>
                <w:szCs w:val="24"/>
              </w:rPr>
            </w:pPr>
          </w:p>
        </w:tc>
        <w:tc>
          <w:tcPr>
            <w:tcW w:w="2573" w:type="dxa"/>
            <w:tcBorders>
              <w:top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rPr>
              <w:t>自然资源</w:t>
            </w:r>
            <w:r>
              <w:rPr>
                <w:rFonts w:hint="eastAsia" w:ascii="黑体" w:hAnsi="黑体" w:eastAsia="黑体" w:cs="黑体"/>
                <w:spacing w:val="2"/>
                <w:sz w:val="24"/>
                <w:szCs w:val="24"/>
                <w:lang w:eastAsia="zh-CN"/>
              </w:rPr>
              <w:t>和规划局</w:t>
            </w:r>
          </w:p>
        </w:tc>
        <w:tc>
          <w:tcPr>
            <w:tcW w:w="1762"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张国伟13523263696</w:t>
            </w:r>
          </w:p>
        </w:tc>
        <w:tc>
          <w:tcPr>
            <w:tcW w:w="2309"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val="en-US" w:eastAsia="zh-CN"/>
              </w:rPr>
            </w:pPr>
          </w:p>
        </w:tc>
        <w:tc>
          <w:tcPr>
            <w:tcW w:w="1911" w:type="dxa"/>
            <w:vMerge w:val="continue"/>
            <w:tcBorders>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505"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八组</w:t>
            </w:r>
          </w:p>
        </w:tc>
        <w:tc>
          <w:tcPr>
            <w:tcW w:w="2573" w:type="dxa"/>
            <w:tcBorders>
              <w:top w:val="single" w:color="000000"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lang w:eastAsia="zh-CN"/>
              </w:rPr>
              <w:t>工业和信息化</w:t>
            </w:r>
            <w:r>
              <w:rPr>
                <w:rFonts w:hint="eastAsia" w:ascii="黑体" w:hAnsi="黑体" w:eastAsia="黑体" w:cs="黑体"/>
                <w:spacing w:val="-1"/>
                <w:sz w:val="24"/>
                <w:szCs w:val="24"/>
                <w:lang w:eastAsia="zh-CN"/>
              </w:rPr>
              <w:t>局</w:t>
            </w:r>
          </w:p>
        </w:tc>
        <w:tc>
          <w:tcPr>
            <w:tcW w:w="1762" w:type="dxa"/>
            <w:tcBorders>
              <w:top w:val="single" w:color="000000" w:sz="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李春红15937533055</w:t>
            </w:r>
          </w:p>
        </w:tc>
        <w:tc>
          <w:tcPr>
            <w:tcW w:w="2309"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lang w:val="en-US" w:eastAsia="zh-CN"/>
              </w:rPr>
            </w:pPr>
            <w:r>
              <w:rPr>
                <w:rFonts w:hint="eastAsia"/>
                <w:lang w:val="en-US" w:eastAsia="zh-CN"/>
              </w:rPr>
              <w:t>高阳路街道 李艳玲</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z w:val="24"/>
                <w:szCs w:val="24"/>
                <w:lang w:val="en-US" w:eastAsia="zh-CN"/>
              </w:rPr>
              <w:t>13353752219</w:t>
            </w:r>
          </w:p>
        </w:tc>
        <w:tc>
          <w:tcPr>
            <w:tcW w:w="1911" w:type="dxa"/>
            <w:vMerge w:val="restart"/>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60" w:lineRule="exact"/>
              <w:jc w:val="center"/>
              <w:textAlignment w:val="auto"/>
              <w:outlineLvl w:val="9"/>
              <w:rPr>
                <w:rFonts w:hint="eastAsia"/>
                <w:lang w:val="en-US" w:eastAsia="zh-CN"/>
              </w:rPr>
            </w:pPr>
            <w:r>
              <w:rPr>
                <w:rFonts w:hint="eastAsia"/>
                <w:lang w:val="en-US" w:eastAsia="zh-CN"/>
              </w:rPr>
              <w:t>周会平</w:t>
            </w:r>
          </w:p>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eastAsia="zh-CN"/>
              </w:rPr>
            </w:pPr>
            <w:r>
              <w:rPr>
                <w:rFonts w:hint="eastAsia" w:ascii="黑体" w:hAnsi="黑体" w:eastAsia="黑体" w:cs="黑体"/>
                <w:sz w:val="24"/>
                <w:szCs w:val="24"/>
                <w:lang w:val="en-US" w:eastAsia="zh-CN"/>
              </w:rPr>
              <w:t>13781075929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505"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4"/>
                <w:sz w:val="24"/>
                <w:szCs w:val="24"/>
              </w:rPr>
            </w:pPr>
          </w:p>
        </w:tc>
        <w:tc>
          <w:tcPr>
            <w:tcW w:w="2573" w:type="dxa"/>
            <w:tcBorders>
              <w:top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区发改委</w:t>
            </w:r>
          </w:p>
        </w:tc>
        <w:tc>
          <w:tcPr>
            <w:tcW w:w="1762"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李运峰13603750365</w:t>
            </w:r>
          </w:p>
        </w:tc>
        <w:tc>
          <w:tcPr>
            <w:tcW w:w="2309"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z w:val="24"/>
                <w:szCs w:val="24"/>
                <w:lang w:val="en-US" w:eastAsia="zh-CN"/>
              </w:rPr>
            </w:pPr>
          </w:p>
        </w:tc>
        <w:tc>
          <w:tcPr>
            <w:tcW w:w="1911" w:type="dxa"/>
            <w:vMerge w:val="continue"/>
            <w:tcBorders>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8" w:line="260" w:lineRule="exact"/>
              <w:jc w:val="center"/>
              <w:textAlignment w:val="auto"/>
              <w:outlineLvl w:val="9"/>
              <w:rPr>
                <w:rFonts w:hint="eastAsia" w:ascii="黑体" w:hAnsi="黑体" w:eastAsia="黑体" w:cs="黑体"/>
                <w:spacing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50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九组</w:t>
            </w:r>
          </w:p>
        </w:tc>
        <w:tc>
          <w:tcPr>
            <w:tcW w:w="2573" w:type="dxa"/>
            <w:tcBorders>
              <w:top w:val="single" w:color="000000" w:sz="2"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rPr>
              <w:t>市场监管局</w:t>
            </w:r>
          </w:p>
        </w:tc>
        <w:tc>
          <w:tcPr>
            <w:tcW w:w="1762"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侯建民13937589988</w:t>
            </w:r>
          </w:p>
        </w:tc>
        <w:tc>
          <w:tcPr>
            <w:tcW w:w="2309"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lang w:val="en-US" w:eastAsia="zh-CN"/>
              </w:rPr>
            </w:pPr>
            <w:r>
              <w:rPr>
                <w:rFonts w:hint="eastAsia"/>
                <w:lang w:val="en-US" w:eastAsia="zh-CN"/>
              </w:rPr>
              <w:t>轻工路街道 尚广超</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rPr>
            </w:pPr>
            <w:r>
              <w:rPr>
                <w:rFonts w:hint="eastAsia" w:ascii="黑体" w:hAnsi="黑体" w:eastAsia="黑体" w:cs="黑体"/>
                <w:sz w:val="24"/>
                <w:szCs w:val="24"/>
                <w:lang w:val="en-US" w:eastAsia="zh-CN"/>
              </w:rPr>
              <w:t>13663755968</w:t>
            </w:r>
          </w:p>
        </w:tc>
        <w:tc>
          <w:tcPr>
            <w:tcW w:w="1911" w:type="dxa"/>
            <w:tcBorders>
              <w:top w:val="single" w:color="000000" w:sz="2" w:space="0"/>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lang w:val="en-US" w:eastAsia="zh-CN"/>
              </w:rPr>
            </w:pPr>
            <w:r>
              <w:rPr>
                <w:rFonts w:hint="eastAsia"/>
                <w:lang w:val="en-US" w:eastAsia="zh-CN"/>
              </w:rPr>
              <w:t>方世云</w:t>
            </w:r>
          </w:p>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15136996219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505"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pacing w:val="-4"/>
                <w:sz w:val="24"/>
                <w:szCs w:val="24"/>
              </w:rPr>
            </w:pPr>
            <w:r>
              <w:rPr>
                <w:rFonts w:hint="eastAsia" w:ascii="黑体" w:hAnsi="黑体" w:eastAsia="黑体" w:cs="黑体"/>
                <w:spacing w:val="-4"/>
                <w:sz w:val="24"/>
                <w:szCs w:val="24"/>
              </w:rPr>
              <w:t>第</w:t>
            </w:r>
            <w:r>
              <w:rPr>
                <w:rFonts w:hint="eastAsia" w:ascii="黑体" w:hAnsi="黑体" w:eastAsia="黑体" w:cs="黑体"/>
                <w:spacing w:val="-2"/>
                <w:sz w:val="24"/>
                <w:szCs w:val="24"/>
              </w:rPr>
              <w:t>十组</w:t>
            </w:r>
          </w:p>
        </w:tc>
        <w:tc>
          <w:tcPr>
            <w:tcW w:w="2573" w:type="dxa"/>
            <w:tcBorders>
              <w:top w:val="single" w:color="000000"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pacing w:val="2"/>
                <w:sz w:val="24"/>
                <w:szCs w:val="24"/>
                <w:lang w:val="en-US" w:eastAsia="zh-CN"/>
              </w:rPr>
              <w:t>区</w:t>
            </w:r>
            <w:r>
              <w:rPr>
                <w:rFonts w:hint="eastAsia" w:ascii="黑体" w:hAnsi="黑体" w:eastAsia="黑体" w:cs="黑体"/>
                <w:spacing w:val="2"/>
                <w:sz w:val="24"/>
                <w:szCs w:val="24"/>
              </w:rPr>
              <w:t>卫生健康</w:t>
            </w:r>
            <w:r>
              <w:rPr>
                <w:rFonts w:hint="eastAsia" w:ascii="黑体" w:hAnsi="黑体" w:eastAsia="黑体" w:cs="黑体"/>
                <w:spacing w:val="1"/>
                <w:sz w:val="24"/>
                <w:szCs w:val="24"/>
              </w:rPr>
              <w:t>委</w:t>
            </w:r>
          </w:p>
        </w:tc>
        <w:tc>
          <w:tcPr>
            <w:tcW w:w="1762" w:type="dxa"/>
            <w:tcBorders>
              <w:top w:val="single" w:color="000000" w:sz="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辛峰</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13603750623</w:t>
            </w:r>
          </w:p>
        </w:tc>
        <w:tc>
          <w:tcPr>
            <w:tcW w:w="2309" w:type="dxa"/>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lang w:val="en-US" w:eastAsia="zh-CN"/>
              </w:rPr>
            </w:pPr>
            <w:r>
              <w:rPr>
                <w:rFonts w:hint="eastAsia"/>
                <w:lang w:val="en-US" w:eastAsia="zh-CN"/>
              </w:rPr>
              <w:t>河滨街道 张高辉</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lang w:val="en-US" w:eastAsia="zh-CN"/>
              </w:rPr>
            </w:pPr>
            <w:r>
              <w:rPr>
                <w:rFonts w:hint="eastAsia" w:ascii="黑体" w:hAnsi="黑体" w:eastAsia="黑体" w:cs="黑体"/>
                <w:spacing w:val="5"/>
                <w:sz w:val="24"/>
                <w:szCs w:val="24"/>
                <w:lang w:val="en-US" w:eastAsia="zh-CN"/>
              </w:rPr>
              <w:t>15737571818</w:t>
            </w:r>
          </w:p>
        </w:tc>
        <w:tc>
          <w:tcPr>
            <w:tcW w:w="1911" w:type="dxa"/>
            <w:vMerge w:val="restart"/>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line="260" w:lineRule="exact"/>
              <w:jc w:val="center"/>
              <w:textAlignment w:val="auto"/>
              <w:outlineLvl w:val="9"/>
              <w:rPr>
                <w:rFonts w:hint="eastAsia"/>
                <w:lang w:val="en-US" w:eastAsia="zh-CN"/>
              </w:rPr>
            </w:pPr>
            <w:r>
              <w:rPr>
                <w:rFonts w:hint="eastAsia"/>
                <w:lang w:val="en-US" w:eastAsia="zh-CN"/>
              </w:rPr>
              <w:t>方世云</w:t>
            </w:r>
          </w:p>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15136996219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05"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ascii="宋体" w:hAnsi="宋体" w:eastAsia="宋体" w:cs="宋体"/>
                <w:spacing w:val="-4"/>
                <w:sz w:val="24"/>
                <w:szCs w:val="24"/>
              </w:rPr>
            </w:pPr>
          </w:p>
        </w:tc>
        <w:tc>
          <w:tcPr>
            <w:tcW w:w="2573" w:type="dxa"/>
            <w:tcBorders>
              <w:top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区住房和城乡建设局</w:t>
            </w:r>
          </w:p>
        </w:tc>
        <w:tc>
          <w:tcPr>
            <w:tcW w:w="1762"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常卫东13837518166</w:t>
            </w:r>
          </w:p>
        </w:tc>
        <w:tc>
          <w:tcPr>
            <w:tcW w:w="2309" w:type="dxa"/>
            <w:vMerge w:val="continue"/>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宋体" w:hAnsi="宋体" w:cs="宋体"/>
                <w:spacing w:val="5"/>
                <w:sz w:val="24"/>
                <w:szCs w:val="24"/>
                <w:lang w:val="en-US" w:eastAsia="zh-CN"/>
              </w:rPr>
            </w:pPr>
          </w:p>
        </w:tc>
        <w:tc>
          <w:tcPr>
            <w:tcW w:w="1911" w:type="dxa"/>
            <w:vMerge w:val="continue"/>
            <w:tcBorders>
              <w:left w:val="single" w:color="auto" w:sz="4"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9" w:line="260" w:lineRule="exact"/>
              <w:jc w:val="center"/>
              <w:textAlignment w:val="auto"/>
              <w:outlineLvl w:val="9"/>
              <w:rPr>
                <w:rFonts w:hint="eastAsia" w:ascii="宋体" w:hAnsi="宋体" w:eastAsia="宋体" w:cs="宋体"/>
                <w:sz w:val="24"/>
                <w:szCs w:val="24"/>
                <w:lang w:val="en-US" w:eastAsia="zh-CN"/>
              </w:rPr>
            </w:pPr>
          </w:p>
        </w:tc>
      </w:tr>
    </w:tbl>
    <w:p>
      <w:pPr>
        <w:keepNext w:val="0"/>
        <w:keepLines w:val="0"/>
        <w:pageBreakBefore w:val="0"/>
        <w:widowControl w:val="0"/>
        <w:tabs>
          <w:tab w:val="left" w:pos="2611"/>
        </w:tabs>
        <w:kinsoku/>
        <w:wordWrap/>
        <w:overflowPunct/>
        <w:topLinePunct w:val="0"/>
        <w:autoSpaceDE/>
        <w:autoSpaceDN/>
        <w:bidi w:val="0"/>
        <w:adjustRightInd/>
        <w:snapToGrid/>
        <w:spacing w:line="260" w:lineRule="exact"/>
        <w:jc w:val="left"/>
        <w:textAlignment w:val="auto"/>
        <w:outlineLvl w:val="9"/>
        <w:rPr>
          <w:lang w:val="en-US" w:eastAsia="zh-CN"/>
        </w:rPr>
      </w:pPr>
    </w:p>
    <w:sectPr>
      <w:headerReference r:id="rId5" w:type="default"/>
      <w:footerReference r:id="rId6" w:type="default"/>
      <w:pgSz w:w="11906" w:h="16838"/>
      <w:pgMar w:top="873"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0AA6438-280B-4B70-9CA6-65FDA74A75C5}"/>
  </w:font>
  <w:font w:name="黑体">
    <w:panose1 w:val="02010609060101010101"/>
    <w:charset w:val="86"/>
    <w:family w:val="auto"/>
    <w:pitch w:val="default"/>
    <w:sig w:usb0="800002BF" w:usb1="38CF7CFA" w:usb2="00000016" w:usb3="00000000" w:csb0="00040001" w:csb1="00000000"/>
    <w:embedRegular r:id="rId2" w:fontKey="{7BBE7B2E-CF99-4A97-97C0-2ECDE79D4F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84A4C11-73F4-445B-B00F-472FC7A7FBD7}"/>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19F5A5EF-EB0F-41B4-81F6-4247042CEEE2}"/>
  </w:font>
  <w:font w:name="仿宋">
    <w:panose1 w:val="02010609060101010101"/>
    <w:charset w:val="86"/>
    <w:family w:val="auto"/>
    <w:pitch w:val="default"/>
    <w:sig w:usb0="800002BF" w:usb1="38CF7CFA" w:usb2="00000016" w:usb3="00000000" w:csb0="00040001" w:csb1="00000000"/>
    <w:embedRegular r:id="rId5" w:fontKey="{254BAACD-A9C8-4666-8B61-E2BC5F4BAEDA}"/>
  </w:font>
  <w:font w:name="楷体_GB2312">
    <w:panose1 w:val="02010609030101010101"/>
    <w:charset w:val="86"/>
    <w:family w:val="auto"/>
    <w:pitch w:val="default"/>
    <w:sig w:usb0="00000001" w:usb1="080E0000" w:usb2="00000000" w:usb3="00000000" w:csb0="00040000" w:csb1="00000000"/>
    <w:embedRegular r:id="rId6" w:fontKey="{01171A8C-8E9F-422F-93AE-4EBE5B3FA445}"/>
  </w:font>
  <w:font w:name="楷体">
    <w:panose1 w:val="02010609060101010101"/>
    <w:charset w:val="86"/>
    <w:family w:val="auto"/>
    <w:pitch w:val="default"/>
    <w:sig w:usb0="800002BF" w:usb1="38CF7CFA" w:usb2="00000016" w:usb3="00000000" w:csb0="00040001" w:csb1="00000000"/>
    <w:embedRegular r:id="rId7" w:fontKey="{0F5EB781-A683-43B8-BAF4-5A03148B3ABB}"/>
  </w:font>
  <w:font w:name="sans-serif">
    <w:altName w:val="微软雅黑"/>
    <w:panose1 w:val="00000000000000000000"/>
    <w:charset w:val="00"/>
    <w:family w:val="auto"/>
    <w:pitch w:val="default"/>
    <w:sig w:usb0="00000000" w:usb1="00000000" w:usb2="00000000" w:usb3="00000000" w:csb0="00040001" w:csb1="00000000"/>
    <w:embedRegular r:id="rId8" w:fontKey="{5955DCBA-291F-44A5-90A1-080F2578DD7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3" w:lineRule="exact"/>
      <w:rPr>
        <w:rFonts w:ascii="宋体" w:hAnsi="宋体" w:eastAsia="宋体" w:cs="宋体"/>
        <w:sz w:val="33"/>
        <w:szCs w:val="3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264"/>
      <w:jc w:val="right"/>
      <w:rPr>
        <w:rFonts w:ascii="宋体" w:hAnsi="宋体" w:eastAsia="宋体" w:cs="宋体"/>
        <w:sz w:val="32"/>
        <w:szCs w:val="32"/>
      </w:rPr>
    </w:pPr>
    <w:r>
      <w:rPr>
        <w:rFonts w:ascii="宋体" w:hAnsi="宋体" w:eastAsia="宋体" w:cs="宋体"/>
        <w:spacing w:val="-15"/>
        <w:sz w:val="32"/>
        <w:szCs w:val="32"/>
      </w:rPr>
      <w:t xml:space="preserve">一 </w:t>
    </w:r>
    <w:r>
      <w:rPr>
        <w:rFonts w:ascii="宋体" w:hAnsi="宋体" w:eastAsia="宋体" w:cs="宋体"/>
        <w:color w:val="113E73"/>
        <w:spacing w:val="-15"/>
        <w:sz w:val="32"/>
        <w:szCs w:val="32"/>
      </w:rPr>
      <w:t>1</w:t>
    </w:r>
    <w:r>
      <w:rPr>
        <w:rFonts w:ascii="宋体" w:hAnsi="宋体" w:eastAsia="宋体" w:cs="宋体"/>
        <w:spacing w:val="-15"/>
        <w:sz w:val="32"/>
        <w:szCs w:val="32"/>
      </w:rPr>
      <w:t>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08D5A"/>
    <w:multiLevelType w:val="singleLevel"/>
    <w:tmpl w:val="DDF08D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7D6B72EB"/>
    <w:rsid w:val="002E73D7"/>
    <w:rsid w:val="03373FFC"/>
    <w:rsid w:val="047779F3"/>
    <w:rsid w:val="0D6F4C5D"/>
    <w:rsid w:val="0E79AA29"/>
    <w:rsid w:val="0F020985"/>
    <w:rsid w:val="0FE142F6"/>
    <w:rsid w:val="0FF42512"/>
    <w:rsid w:val="12A363AF"/>
    <w:rsid w:val="1CBF15BB"/>
    <w:rsid w:val="1E111268"/>
    <w:rsid w:val="1E857C9F"/>
    <w:rsid w:val="1F5F3211"/>
    <w:rsid w:val="21862E64"/>
    <w:rsid w:val="23272EC8"/>
    <w:rsid w:val="23780F42"/>
    <w:rsid w:val="26690C01"/>
    <w:rsid w:val="27255BE2"/>
    <w:rsid w:val="28291B3D"/>
    <w:rsid w:val="2AEFFDE3"/>
    <w:rsid w:val="32185EF2"/>
    <w:rsid w:val="33D8DD04"/>
    <w:rsid w:val="3A343D48"/>
    <w:rsid w:val="3F1C52F8"/>
    <w:rsid w:val="45EF76BB"/>
    <w:rsid w:val="4C1D74B2"/>
    <w:rsid w:val="4DDB50DA"/>
    <w:rsid w:val="55A57823"/>
    <w:rsid w:val="59B43975"/>
    <w:rsid w:val="5D2748DA"/>
    <w:rsid w:val="5DC37179"/>
    <w:rsid w:val="5F954212"/>
    <w:rsid w:val="6272092B"/>
    <w:rsid w:val="63345F74"/>
    <w:rsid w:val="65CD0D02"/>
    <w:rsid w:val="65E117E6"/>
    <w:rsid w:val="67F9FAE7"/>
    <w:rsid w:val="69715C81"/>
    <w:rsid w:val="7114096E"/>
    <w:rsid w:val="77507510"/>
    <w:rsid w:val="78152567"/>
    <w:rsid w:val="7D6B72EB"/>
    <w:rsid w:val="7DCE1348"/>
    <w:rsid w:val="7DD31797"/>
    <w:rsid w:val="7DDB2833"/>
    <w:rsid w:val="7F3F5CF1"/>
    <w:rsid w:val="878D98CB"/>
    <w:rsid w:val="9FBB295B"/>
    <w:rsid w:val="FDF88B5B"/>
    <w:rsid w:val="FFD45BF1"/>
    <w:rsid w:val="FFFD3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Autospacing="1" w:afterAutospacing="1"/>
      <w:jc w:val="left"/>
      <w:outlineLvl w:val="1"/>
    </w:pPr>
    <w:rPr>
      <w:rFonts w:hint="eastAsia" w:ascii="宋体" w:hAnsi="宋体" w:cs="Times New Roman"/>
      <w:b/>
      <w:bCs/>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next w:val="1"/>
    <w:qFormat/>
    <w:uiPriority w:val="0"/>
    <w:pPr>
      <w:widowControl w:val="0"/>
      <w:spacing w:after="0"/>
      <w:ind w:left="0" w:leftChars="0" w:firstLine="420" w:firstLineChars="200"/>
      <w:jc w:val="both"/>
    </w:pPr>
    <w:rPr>
      <w:rFonts w:ascii="Calibri" w:hAnsi="Calibri" w:eastAsia="宋体" w:cs="黑体"/>
      <w:kern w:val="0"/>
      <w:sz w:val="21"/>
      <w:szCs w:val="24"/>
      <w:lang w:val="en-US" w:eastAsia="zh-CN" w:bidi="ar-SA"/>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qFormat/>
    <w:uiPriority w:val="0"/>
    <w:pPr>
      <w:spacing w:after="0"/>
      <w:ind w:left="0" w:leftChars="0" w:firstLine="420" w:firstLineChars="200"/>
    </w:pPr>
    <w:rPr>
      <w:snapToGrid/>
      <w:kern w:val="0"/>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7053</Words>
  <Characters>7535</Characters>
  <Lines>0</Lines>
  <Paragraphs>0</Paragraphs>
  <TotalTime>0</TotalTime>
  <ScaleCrop>false</ScaleCrop>
  <LinksUpToDate>false</LinksUpToDate>
  <CharactersWithSpaces>7880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2022-07-24T17:40:00Z</dcterms:created>
  <dc:creator>greatwall</dc:creator>
  <cp:lastModifiedBy>Administrator</cp:lastModifiedBy>
  <cp:lastPrinted>2022-08-11T03:41:00Z</cp:lastPrinted>
  <dcterms:modified xsi:type="dcterms:W3CDTF">2022-11-15T08:47:04Z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B018E18A24694AEBB240E539302E99DC</vt:lpwstr>
  </property>
</Properties>
</file>