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line="240" w:lineRule="auto"/>
        <w:ind w:left="0" w:right="0"/>
        <w:jc w:val="left"/>
      </w:pPr>
      <w:r>
        <w:rPr>
          <w:color w:val="000000"/>
          <w:spacing w:val="0"/>
          <w:w w:val="100"/>
          <w:position w:val="0"/>
        </w:rPr>
        <w:t>附件</w:t>
      </w:r>
      <w:bookmarkStart w:id="0" w:name="_GoBack"/>
      <w:bookmarkEnd w:id="0"/>
    </w:p>
    <w:p>
      <w:pPr>
        <w:pStyle w:val="7"/>
        <w:keepNext w:val="0"/>
        <w:keepLines w:val="0"/>
        <w:widowControl w:val="0"/>
        <w:shd w:val="clear" w:color="auto" w:fill="auto"/>
        <w:bidi w:val="0"/>
        <w:spacing w:before="0" w:line="240" w:lineRule="auto"/>
        <w:ind w:left="0" w:right="0" w:firstLine="0"/>
        <w:jc w:val="center"/>
      </w:pPr>
      <w:r>
        <w:rPr>
          <w:rFonts w:hint="eastAsia"/>
          <w:color w:val="000000"/>
          <w:spacing w:val="0"/>
          <w:w w:val="100"/>
          <w:position w:val="0"/>
          <w:lang w:eastAsia="zh-CN"/>
        </w:rPr>
        <w:t>湛河区</w:t>
      </w:r>
      <w:r>
        <w:rPr>
          <w:color w:val="000000"/>
          <w:spacing w:val="0"/>
          <w:w w:val="100"/>
          <w:position w:val="0"/>
        </w:rPr>
        <w:t>财政局行政裁决事项基本清单</w:t>
      </w:r>
    </w:p>
    <w:tbl>
      <w:tblPr>
        <w:tblStyle w:val="2"/>
        <w:tblW w:w="0" w:type="auto"/>
        <w:jc w:val="center"/>
        <w:tblLayout w:type="fixed"/>
        <w:tblCellMar>
          <w:top w:w="0" w:type="dxa"/>
          <w:left w:w="10" w:type="dxa"/>
          <w:bottom w:w="0" w:type="dxa"/>
          <w:right w:w="10" w:type="dxa"/>
        </w:tblCellMar>
      </w:tblPr>
      <w:tblGrid>
        <w:gridCol w:w="240"/>
        <w:gridCol w:w="612"/>
        <w:gridCol w:w="315"/>
        <w:gridCol w:w="5595"/>
        <w:gridCol w:w="1697"/>
        <w:gridCol w:w="429"/>
        <w:gridCol w:w="617"/>
      </w:tblGrid>
      <w:tr>
        <w:tblPrEx>
          <w:tblCellMar>
            <w:top w:w="0" w:type="dxa"/>
            <w:left w:w="10" w:type="dxa"/>
            <w:bottom w:w="0" w:type="dxa"/>
            <w:right w:w="10" w:type="dxa"/>
          </w:tblCellMar>
        </w:tblPrEx>
        <w:trPr>
          <w:trHeight w:val="583" w:hRule="exact"/>
          <w:jc w:val="center"/>
        </w:trPr>
        <w:tc>
          <w:tcPr>
            <w:tcW w:w="24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right="0"/>
              <w:jc w:val="left"/>
            </w:pPr>
            <w:r>
              <w:rPr>
                <w:color w:val="000000"/>
                <w:spacing w:val="0"/>
                <w:w w:val="100"/>
                <w:position w:val="0"/>
              </w:rPr>
              <w:t>序 号</w:t>
            </w:r>
          </w:p>
        </w:tc>
        <w:tc>
          <w:tcPr>
            <w:tcW w:w="612"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业务指导</w:t>
            </w:r>
          </w:p>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（实施） 部门</w:t>
            </w:r>
          </w:p>
        </w:tc>
        <w:tc>
          <w:tcPr>
            <w:tcW w:w="3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事项</w:t>
            </w:r>
          </w:p>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名称</w:t>
            </w:r>
          </w:p>
        </w:tc>
        <w:tc>
          <w:tcPr>
            <w:tcW w:w="55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法律、法规设定依据</w:t>
            </w: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规章等程序性规定</w:t>
            </w:r>
          </w:p>
        </w:tc>
        <w:tc>
          <w:tcPr>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实施</w:t>
            </w:r>
            <w:r>
              <w:rPr>
                <w:rFonts w:hint="eastAsia"/>
                <w:color w:val="000000"/>
                <w:spacing w:val="0"/>
                <w:w w:val="100"/>
                <w:position w:val="0"/>
                <w:lang w:val="en-US" w:eastAsia="zh-CN"/>
              </w:rPr>
              <w:t xml:space="preserve"> </w:t>
            </w:r>
            <w:r>
              <w:rPr>
                <w:color w:val="000000"/>
                <w:spacing w:val="0"/>
                <w:w w:val="100"/>
                <w:position w:val="0"/>
              </w:rPr>
              <w:t>主体</w:t>
            </w:r>
          </w:p>
        </w:tc>
        <w:tc>
          <w:tcPr>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 xml:space="preserve">行使 </w:t>
            </w:r>
            <w:r>
              <w:rPr>
                <w:rFonts w:hint="eastAsia"/>
                <w:color w:val="000000"/>
                <w:spacing w:val="0"/>
                <w:w w:val="100"/>
                <w:position w:val="0"/>
                <w:lang w:val="en-US" w:eastAsia="zh-CN"/>
              </w:rPr>
              <w:t xml:space="preserve">      </w:t>
            </w:r>
            <w:r>
              <w:rPr>
                <w:color w:val="000000"/>
                <w:spacing w:val="0"/>
                <w:w w:val="100"/>
                <w:position w:val="0"/>
              </w:rPr>
              <w:t>层级</w:t>
            </w:r>
          </w:p>
        </w:tc>
      </w:tr>
      <w:tr>
        <w:tblPrEx>
          <w:tblCellMar>
            <w:top w:w="0" w:type="dxa"/>
            <w:left w:w="10" w:type="dxa"/>
            <w:bottom w:w="0" w:type="dxa"/>
            <w:right w:w="10" w:type="dxa"/>
          </w:tblCellMar>
        </w:tblPrEx>
        <w:trPr>
          <w:trHeight w:val="3069" w:hRule="exact"/>
          <w:jc w:val="center"/>
        </w:trPr>
        <w:tc>
          <w:tcPr>
            <w:tcW w:w="24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lang w:val="en-US" w:eastAsia="zh-CN"/>
              </w:rPr>
              <w:t xml:space="preserve"> 1</w:t>
            </w:r>
          </w:p>
        </w:tc>
        <w:tc>
          <w:tcPr>
            <w:tcW w:w="61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区</w:t>
            </w:r>
            <w:r>
              <w:rPr>
                <w:color w:val="000000"/>
                <w:spacing w:val="0"/>
                <w:w w:val="100"/>
                <w:position w:val="0"/>
              </w:rPr>
              <w:t>财政局</w:t>
            </w:r>
          </w:p>
        </w:tc>
        <w:tc>
          <w:tcPr>
            <w:tcW w:w="31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left="0" w:right="0" w:firstLine="0"/>
              <w:jc w:val="both"/>
              <w:rPr>
                <w:rFonts w:hint="eastAsia" w:eastAsia="宋体"/>
                <w:lang w:eastAsia="zh-CN"/>
              </w:rPr>
            </w:pPr>
            <w:r>
              <w:rPr>
                <w:rFonts w:hint="eastAsia"/>
                <w:lang w:eastAsia="zh-CN"/>
              </w:rPr>
              <w:t>政府采购投诉处理</w:t>
            </w:r>
          </w:p>
        </w:tc>
        <w:tc>
          <w:tcPr>
            <w:tcW w:w="5595" w:type="dxa"/>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0"/>
              <w:ind w:left="0" w:right="0" w:firstLine="0"/>
              <w:jc w:val="both"/>
            </w:pPr>
            <w:r>
              <w:rPr>
                <w:color w:val="000000"/>
                <w:spacing w:val="0"/>
                <w:w w:val="100"/>
                <w:position w:val="0"/>
              </w:rPr>
              <w:t>【法律】《中华人民共和国政府釆购法》（</w:t>
            </w:r>
            <w:r>
              <w:rPr>
                <w:rFonts w:ascii="Times New Roman" w:hAnsi="Times New Roman" w:eastAsia="Times New Roman" w:cs="Times New Roman"/>
                <w:color w:val="000000"/>
                <w:spacing w:val="0"/>
                <w:w w:val="100"/>
                <w:position w:val="0"/>
              </w:rPr>
              <w:t>2014</w:t>
            </w:r>
            <w:r>
              <w:rPr>
                <w:color w:val="000000"/>
                <w:spacing w:val="0"/>
                <w:w w:val="100"/>
                <w:position w:val="0"/>
              </w:rPr>
              <w:t>年修正）</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第五十五条</w:t>
            </w:r>
            <w:r>
              <w:rPr>
                <w:rFonts w:hint="eastAsia"/>
                <w:color w:val="000000"/>
                <w:spacing w:val="0"/>
                <w:w w:val="100"/>
                <w:position w:val="0"/>
                <w:lang w:val="en-US" w:eastAsia="zh-CN"/>
              </w:rPr>
              <w:t xml:space="preserve">  </w:t>
            </w:r>
            <w:r>
              <w:rPr>
                <w:color w:val="000000"/>
                <w:spacing w:val="0"/>
                <w:w w:val="100"/>
                <w:position w:val="0"/>
              </w:rPr>
              <w:t>质疑供应商对采购人、采购代理机构的答复不满意或者采购人、釆购代理机构未在规定的时间内作出答复的，可以在答复期满后十五个工作日内向同级政府采购监督管理部门投诉。</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 xml:space="preserve">第五十六条 </w:t>
            </w:r>
            <w:r>
              <w:rPr>
                <w:rFonts w:hint="eastAsia"/>
                <w:color w:val="000000"/>
                <w:spacing w:val="0"/>
                <w:w w:val="100"/>
                <w:position w:val="0"/>
                <w:lang w:val="en-US" w:eastAsia="zh-CN"/>
              </w:rPr>
              <w:t xml:space="preserve"> </w:t>
            </w:r>
            <w:r>
              <w:rPr>
                <w:color w:val="000000"/>
                <w:spacing w:val="0"/>
                <w:w w:val="100"/>
                <w:position w:val="0"/>
              </w:rPr>
              <w:t>政府采购监督管理部门应当在收到投诉后三十个工作</w:t>
            </w:r>
            <w:r>
              <w:rPr>
                <w:rFonts w:hint="eastAsia"/>
                <w:color w:val="000000"/>
                <w:spacing w:val="0"/>
                <w:w w:val="100"/>
                <w:position w:val="0"/>
                <w:lang w:eastAsia="zh-CN"/>
              </w:rPr>
              <w:t>日</w:t>
            </w:r>
            <w:r>
              <w:rPr>
                <w:color w:val="000000"/>
                <w:spacing w:val="0"/>
                <w:w w:val="100"/>
                <w:position w:val="0"/>
              </w:rPr>
              <w:t>内，对投诉事项作岀处理决定，并以书面形式通知投诉人和与投诉事项有关的当</w:t>
            </w:r>
            <w:r>
              <w:rPr>
                <w:rFonts w:hint="eastAsia"/>
                <w:color w:val="000000"/>
                <w:spacing w:val="0"/>
                <w:w w:val="100"/>
                <w:position w:val="0"/>
                <w:lang w:eastAsia="zh-CN"/>
              </w:rPr>
              <w:t>事</w:t>
            </w:r>
            <w:r>
              <w:rPr>
                <w:color w:val="000000"/>
                <w:spacing w:val="0"/>
                <w:w w:val="100"/>
                <w:position w:val="0"/>
              </w:rPr>
              <w:t>人。</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第五十七条</w:t>
            </w:r>
            <w:r>
              <w:rPr>
                <w:rFonts w:hint="eastAsia"/>
                <w:color w:val="000000"/>
                <w:spacing w:val="0"/>
                <w:w w:val="100"/>
                <w:position w:val="0"/>
                <w:lang w:val="en-US" w:eastAsia="zh-CN"/>
              </w:rPr>
              <w:t xml:space="preserve">  </w:t>
            </w:r>
            <w:r>
              <w:rPr>
                <w:color w:val="000000"/>
                <w:spacing w:val="0"/>
                <w:w w:val="100"/>
                <w:position w:val="0"/>
              </w:rPr>
              <w:t>政府釆购监督管理部门在处理投诉事项期间，可以视具体情况书面通知釆购人暂停采购活动，但暂停时间最长不得超过三十日。</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第五十八条</w:t>
            </w:r>
            <w:r>
              <w:rPr>
                <w:rFonts w:hint="eastAsia"/>
                <w:color w:val="000000"/>
                <w:spacing w:val="0"/>
                <w:w w:val="100"/>
                <w:position w:val="0"/>
                <w:lang w:val="en-US" w:eastAsia="zh-CN"/>
              </w:rPr>
              <w:t xml:space="preserve">  </w:t>
            </w:r>
            <w:r>
              <w:rPr>
                <w:color w:val="000000"/>
                <w:spacing w:val="0"/>
                <w:w w:val="100"/>
                <w:position w:val="0"/>
              </w:rPr>
              <w:t>投诉人对政府釆购监督管理部门的投诉处理决定不服或者政府采购监督管理部门逾期未作</w:t>
            </w:r>
            <w:r>
              <w:rPr>
                <w:rFonts w:hint="eastAsia"/>
                <w:color w:val="000000"/>
                <w:spacing w:val="0"/>
                <w:w w:val="100"/>
                <w:position w:val="0"/>
                <w:lang w:eastAsia="zh-CN"/>
              </w:rPr>
              <w:t>处</w:t>
            </w:r>
            <w:r>
              <w:rPr>
                <w:color w:val="000000"/>
                <w:spacing w:val="0"/>
                <w:w w:val="100"/>
                <w:position w:val="0"/>
              </w:rPr>
              <w:t>理的，可以依法申请行政复议或者向人民法院提起行政诉讼。</w:t>
            </w:r>
          </w:p>
          <w:p>
            <w:pPr>
              <w:pStyle w:val="9"/>
              <w:keepNext w:val="0"/>
              <w:keepLines w:val="0"/>
              <w:widowControl w:val="0"/>
              <w:shd w:val="clear" w:color="auto" w:fill="auto"/>
              <w:bidi w:val="0"/>
              <w:spacing w:before="0" w:after="0"/>
              <w:ind w:left="0" w:right="0" w:firstLine="0"/>
              <w:jc w:val="both"/>
            </w:pPr>
            <w:r>
              <w:rPr>
                <w:color w:val="000000"/>
                <w:spacing w:val="0"/>
                <w:w w:val="100"/>
                <w:position w:val="0"/>
              </w:rPr>
              <w:t>【行政法规】《中华人民共和国政府釆购法实施条例》（</w:t>
            </w:r>
            <w:r>
              <w:rPr>
                <w:rFonts w:ascii="Times New Roman" w:hAnsi="Times New Roman" w:eastAsia="Times New Roman" w:cs="Times New Roman"/>
                <w:color w:val="000000"/>
                <w:spacing w:val="0"/>
                <w:w w:val="100"/>
                <w:position w:val="0"/>
              </w:rPr>
              <w:t>2015</w:t>
            </w:r>
            <w:r>
              <w:rPr>
                <w:color w:val="000000"/>
                <w:spacing w:val="0"/>
                <w:w w:val="100"/>
                <w:position w:val="0"/>
              </w:rPr>
              <w:t>年公布）</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第五十六条财政部门处理投诉事项釆用书面审査的方式,必要时可以进行调査取证或者组织质证。</w:t>
            </w:r>
          </w:p>
          <w:p>
            <w:pPr>
              <w:pStyle w:val="9"/>
              <w:keepNext w:val="0"/>
              <w:keepLines w:val="0"/>
              <w:widowControl w:val="0"/>
              <w:shd w:val="clear" w:color="auto" w:fill="auto"/>
              <w:bidi w:val="0"/>
              <w:spacing w:before="0" w:after="0"/>
              <w:ind w:left="0" w:right="0" w:firstLine="320"/>
              <w:jc w:val="both"/>
            </w:pPr>
            <w:r>
              <w:rPr>
                <w:color w:val="000000"/>
                <w:spacing w:val="0"/>
                <w:w w:val="100"/>
                <w:position w:val="0"/>
              </w:rPr>
              <w:t>对财政部门依法进行的调査取证，投诉人和与投诉事项有关的当事人应当如实反映情况，并提供相关材料。</w:t>
            </w:r>
          </w:p>
        </w:tc>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192" w:lineRule="exact"/>
              <w:ind w:left="0" w:right="0" w:firstLine="0"/>
              <w:jc w:val="left"/>
            </w:pPr>
            <w:r>
              <w:rPr>
                <w:color w:val="000000"/>
                <w:spacing w:val="0"/>
                <w:w w:val="100"/>
                <w:position w:val="0"/>
              </w:rPr>
              <w:t>【部门规章】《政府釆购质疑和投诉办法》（</w:t>
            </w:r>
            <w:r>
              <w:rPr>
                <w:rFonts w:ascii="Times New Roman" w:hAnsi="Times New Roman" w:eastAsia="Times New Roman" w:cs="Times New Roman"/>
                <w:color w:val="000000"/>
                <w:spacing w:val="0"/>
                <w:w w:val="100"/>
                <w:position w:val="0"/>
              </w:rPr>
              <w:t>2017</w:t>
            </w:r>
            <w:r>
              <w:rPr>
                <w:color w:val="000000"/>
                <w:spacing w:val="0"/>
                <w:w w:val="100"/>
                <w:position w:val="0"/>
              </w:rPr>
              <w:t>年 公布）</w:t>
            </w:r>
          </w:p>
          <w:p>
            <w:pPr>
              <w:pStyle w:val="9"/>
              <w:keepNext w:val="0"/>
              <w:keepLines w:val="0"/>
              <w:widowControl w:val="0"/>
              <w:shd w:val="clear" w:color="auto" w:fill="auto"/>
              <w:bidi w:val="0"/>
              <w:spacing w:before="0" w:after="0" w:line="192" w:lineRule="exact"/>
              <w:ind w:left="0" w:right="0" w:firstLine="300"/>
              <w:jc w:val="left"/>
            </w:pPr>
            <w:r>
              <w:rPr>
                <w:color w:val="000000"/>
                <w:spacing w:val="0"/>
                <w:w w:val="100"/>
                <w:position w:val="0"/>
              </w:rPr>
              <w:t>第五条第二款</w:t>
            </w:r>
            <w:r>
              <w:rPr>
                <w:rFonts w:hint="eastAsia"/>
                <w:color w:val="000000"/>
                <w:spacing w:val="0"/>
                <w:w w:val="100"/>
                <w:position w:val="0"/>
                <w:lang w:val="en-US" w:eastAsia="zh-CN"/>
              </w:rPr>
              <w:t xml:space="preserve">  </w:t>
            </w:r>
            <w:r>
              <w:rPr>
                <w:color w:val="000000"/>
                <w:spacing w:val="0"/>
                <w:w w:val="100"/>
                <w:position w:val="0"/>
              </w:rPr>
              <w:t>县级以上各级人民政府财政部门（以下简称财政部门）负责依法处理供应商投诉。</w:t>
            </w:r>
          </w:p>
        </w:tc>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192" w:lineRule="exact"/>
              <w:ind w:left="0" w:right="0" w:firstLine="0"/>
              <w:jc w:val="both"/>
            </w:pPr>
            <w:r>
              <w:rPr>
                <w:color w:val="000000"/>
                <w:spacing w:val="0"/>
                <w:w w:val="100"/>
                <w:position w:val="0"/>
              </w:rPr>
              <w:t>县级以</w:t>
            </w:r>
            <w:r>
              <w:rPr>
                <w:rFonts w:hint="eastAsia"/>
                <w:color w:val="000000"/>
                <w:spacing w:val="0"/>
                <w:w w:val="100"/>
                <w:position w:val="0"/>
                <w:lang w:eastAsia="zh-CN"/>
              </w:rPr>
              <w:t>上</w:t>
            </w:r>
            <w:r>
              <w:rPr>
                <w:color w:val="000000"/>
                <w:spacing w:val="0"/>
                <w:w w:val="100"/>
                <w:position w:val="0"/>
              </w:rPr>
              <w:t>人民 政</w:t>
            </w:r>
            <w:r>
              <w:rPr>
                <w:rFonts w:hint="eastAsia"/>
                <w:color w:val="000000"/>
                <w:spacing w:val="0"/>
                <w:w w:val="100"/>
                <w:position w:val="0"/>
                <w:lang w:eastAsia="zh-CN"/>
              </w:rPr>
              <w:t>府</w:t>
            </w:r>
            <w:r>
              <w:rPr>
                <w:color w:val="000000"/>
                <w:spacing w:val="0"/>
                <w:w w:val="100"/>
                <w:position w:val="0"/>
              </w:rPr>
              <w:t>财政部门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189" w:lineRule="exact"/>
              <w:ind w:left="0" w:right="0" w:firstLine="0"/>
              <w:jc w:val="center"/>
            </w:pPr>
            <w:r>
              <w:rPr>
                <w:color w:val="000000"/>
                <w:spacing w:val="0"/>
                <w:w w:val="100"/>
                <w:position w:val="0"/>
              </w:rPr>
              <w:t>县级</w:t>
            </w:r>
          </w:p>
        </w:tc>
      </w:tr>
    </w:tbl>
    <w:p/>
    <w:sectPr>
      <w:footnotePr>
        <w:numFmt w:val="decimal"/>
      </w:footnotePr>
      <w:pgSz w:w="11900" w:h="16840"/>
      <w:pgMar w:top="5964" w:right="1240" w:bottom="5964" w:left="1154" w:header="5536" w:footer="5536"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60608DC"/>
    <w:rsid w:val="32964106"/>
    <w:rsid w:val="3E0C3864"/>
    <w:rsid w:val="4E5C7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sz w:val="19"/>
      <w:szCs w:val="19"/>
      <w:u w:val="none"/>
      <w:shd w:val="clear" w:color="auto" w:fill="auto"/>
      <w:lang w:val="zh-TW" w:eastAsia="zh-TW" w:bidi="zh-TW"/>
    </w:rPr>
  </w:style>
  <w:style w:type="paragraph" w:customStyle="1" w:styleId="5">
    <w:name w:val="Body text|2"/>
    <w:basedOn w:val="1"/>
    <w:link w:val="4"/>
    <w:uiPriority w:val="0"/>
    <w:pPr>
      <w:widowControl w:val="0"/>
      <w:shd w:val="clear" w:color="auto" w:fill="auto"/>
      <w:spacing w:after="60"/>
      <w:ind w:firstLine="480"/>
    </w:pPr>
    <w:rPr>
      <w:rFonts w:ascii="宋体" w:hAnsi="宋体" w:eastAsia="宋体" w:cs="宋体"/>
      <w:sz w:val="19"/>
      <w:szCs w:val="19"/>
      <w:u w:val="none"/>
      <w:shd w:val="clear" w:color="auto" w:fill="auto"/>
      <w:lang w:val="zh-TW" w:eastAsia="zh-TW" w:bidi="zh-TW"/>
    </w:rPr>
  </w:style>
  <w:style w:type="character" w:customStyle="1" w:styleId="6">
    <w:name w:val="Body text|1_"/>
    <w:basedOn w:val="3"/>
    <w:link w:val="7"/>
    <w:uiPriority w:val="0"/>
    <w:rPr>
      <w:rFonts w:ascii="宋体" w:hAnsi="宋体" w:eastAsia="宋体" w:cs="宋体"/>
      <w:sz w:val="26"/>
      <w:szCs w:val="26"/>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380"/>
      <w:jc w:val="center"/>
    </w:pPr>
    <w:rPr>
      <w:rFonts w:ascii="宋体" w:hAnsi="宋体" w:eastAsia="宋体" w:cs="宋体"/>
      <w:sz w:val="26"/>
      <w:szCs w:val="26"/>
      <w:u w:val="none"/>
      <w:shd w:val="clear" w:color="auto" w:fill="auto"/>
      <w:lang w:val="zh-TW" w:eastAsia="zh-TW" w:bidi="zh-TW"/>
    </w:rPr>
  </w:style>
  <w:style w:type="character" w:customStyle="1" w:styleId="8">
    <w:name w:val="Other|1_"/>
    <w:basedOn w:val="3"/>
    <w:link w:val="9"/>
    <w:qFormat/>
    <w:uiPriority w:val="0"/>
    <w:rPr>
      <w:rFonts w:ascii="宋体" w:hAnsi="宋体" w:eastAsia="宋体" w:cs="宋体"/>
      <w:sz w:val="13"/>
      <w:szCs w:val="13"/>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line="190" w:lineRule="exact"/>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583</Words>
  <Characters>592</Characters>
  <TotalTime>26</TotalTime>
  <ScaleCrop>false</ScaleCrop>
  <LinksUpToDate>false</LinksUpToDate>
  <CharactersWithSpaces>616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2022-04-13T02:09:00Z</dcterms:created>
  <dc:creator>Administrator</dc:creator>
  <cp:lastModifiedBy>翾1367974113</cp:lastModifiedBy>
  <dcterms:modified xsi:type="dcterms:W3CDTF">2022-04-13T03:43:18Z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C6547EEE715E43A6865CA6F09A57C418</vt:lpwstr>
  </property>
</Properties>
</file>