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sz w:val="44"/>
          <w:szCs w:val="44"/>
        </w:rPr>
      </w:pP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证明事项告知承诺制清单</w:t>
      </w:r>
    </w:p>
    <w:p>
      <w:pPr>
        <w:spacing w:line="580" w:lineRule="exact"/>
        <w:ind w:firstLine="435"/>
        <w:rPr>
          <w:rFonts w:hint="eastAsia" w:ascii="仿宋_GB2312" w:eastAsia="仿宋_GB2312"/>
          <w:sz w:val="32"/>
          <w:szCs w:val="32"/>
        </w:rPr>
      </w:pPr>
    </w:p>
    <w:tbl>
      <w:tblPr>
        <w:tblStyle w:val="2"/>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916"/>
        <w:gridCol w:w="1162"/>
        <w:gridCol w:w="1913"/>
        <w:gridCol w:w="3244"/>
        <w:gridCol w:w="150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r>
              <w:rPr>
                <w:rFonts w:hint="eastAsia" w:ascii="仿宋_GB2312" w:eastAsia="仿宋_GB2312"/>
                <w:sz w:val="24"/>
              </w:rPr>
              <w:t>序号</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eastAsia="仿宋_GB2312"/>
                <w:sz w:val="24"/>
              </w:rPr>
            </w:pPr>
            <w:r>
              <w:rPr>
                <w:rFonts w:hint="eastAsia" w:ascii="仿宋_GB2312" w:eastAsia="仿宋_GB2312"/>
                <w:sz w:val="24"/>
              </w:rPr>
              <w:t>承办单位</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r>
              <w:rPr>
                <w:rFonts w:hint="eastAsia" w:ascii="仿宋_GB2312" w:eastAsia="仿宋_GB2312"/>
                <w:sz w:val="24"/>
              </w:rPr>
              <w:t>行政事项名称</w:t>
            </w:r>
          </w:p>
        </w:tc>
        <w:tc>
          <w:tcPr>
            <w:tcW w:w="19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r>
              <w:rPr>
                <w:rFonts w:hint="eastAsia" w:ascii="仿宋_GB2312" w:eastAsia="仿宋_GB2312"/>
                <w:sz w:val="24"/>
              </w:rPr>
              <w:t>实行告知承诺制的证明事项</w:t>
            </w:r>
          </w:p>
        </w:tc>
        <w:tc>
          <w:tcPr>
            <w:tcW w:w="324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r>
              <w:rPr>
                <w:rFonts w:hint="eastAsia" w:ascii="仿宋_GB2312" w:eastAsia="仿宋_GB2312"/>
                <w:sz w:val="24"/>
              </w:rPr>
              <w:t>证明事项设定依据</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r>
              <w:rPr>
                <w:rFonts w:hint="eastAsia" w:ascii="仿宋_GB2312" w:eastAsia="仿宋_GB2312"/>
                <w:sz w:val="24"/>
              </w:rPr>
              <w:t>核查方式</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1</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eastAsia="仿宋_GB2312"/>
                <w:sz w:val="24"/>
                <w:lang w:val="en-US" w:eastAsia="zh-CN"/>
              </w:rPr>
            </w:pPr>
            <w:r>
              <w:rPr>
                <w:rFonts w:hint="eastAsia" w:ascii="仿宋_GB2312" w:eastAsia="仿宋_GB2312"/>
                <w:sz w:val="24"/>
                <w:lang w:eastAsia="zh-CN"/>
              </w:rPr>
              <w:t>区人社局</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lang w:eastAsia="zh-CN"/>
              </w:rPr>
            </w:pPr>
            <w:r>
              <w:rPr>
                <w:rFonts w:hint="eastAsia" w:ascii="仿宋_GB2312" w:eastAsia="仿宋_GB2312"/>
                <w:sz w:val="24"/>
                <w:lang w:eastAsia="zh-CN"/>
              </w:rPr>
              <w:t>档案的接收</w:t>
            </w:r>
          </w:p>
        </w:tc>
        <w:tc>
          <w:tcPr>
            <w:tcW w:w="19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lang w:eastAsia="zh-CN"/>
              </w:rPr>
            </w:pPr>
            <w:r>
              <w:rPr>
                <w:rFonts w:hint="eastAsia" w:ascii="仿宋_GB2312" w:eastAsia="仿宋_GB2312"/>
                <w:sz w:val="24"/>
                <w:lang w:eastAsia="zh-CN"/>
              </w:rPr>
              <w:t>原档案存放单位出具的档案材料清单</w:t>
            </w:r>
          </w:p>
        </w:tc>
        <w:tc>
          <w:tcPr>
            <w:tcW w:w="324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eastAsia="仿宋_GB2312"/>
                <w:sz w:val="24"/>
              </w:rPr>
            </w:pPr>
            <w:r>
              <w:rPr>
                <w:rFonts w:ascii="宋体" w:hAnsi="宋体" w:eastAsia="宋体" w:cs="宋体"/>
                <w:sz w:val="24"/>
                <w:szCs w:val="24"/>
              </w:rPr>
              <w:t>一、《人力资源市场暂行条例》（中华人民共和国国务院令第700号）第十五条：公共人力资源服务机构提供下列服务，不得收费：（七）流动人员人事档案管理。</w:t>
            </w:r>
            <w:r>
              <w:rPr>
                <w:rFonts w:ascii="宋体" w:hAnsi="宋体" w:eastAsia="宋体" w:cs="宋体"/>
                <w:sz w:val="24"/>
                <w:szCs w:val="24"/>
              </w:rPr>
              <w:br w:type="textWrapping"/>
            </w:r>
            <w:r>
              <w:rPr>
                <w:rFonts w:ascii="宋体" w:hAnsi="宋体" w:eastAsia="宋体" w:cs="宋体"/>
                <w:sz w:val="24"/>
                <w:szCs w:val="24"/>
              </w:rPr>
              <w:t>二、《关于进一步加强流动人员人事档案管理服务工作的通知》（人社部发〔2014〕90号）（三）加强流动人员人事档案基本公共服务。流动人员人事档案管理服务是基本公共就业和人才服务的重要内容。流动人员人事档案基本公共服务应当包</w:t>
            </w:r>
            <w:r>
              <w:rPr>
                <w:rFonts w:hint="eastAsia" w:ascii="宋体" w:hAnsi="宋体" w:cs="宋体"/>
                <w:sz w:val="24"/>
                <w:szCs w:val="24"/>
                <w:lang w:eastAsia="zh-CN"/>
              </w:rPr>
              <w:t>。</w:t>
            </w:r>
            <w:r>
              <w:rPr>
                <w:rFonts w:ascii="宋体" w:hAnsi="宋体" w:eastAsia="宋体" w:cs="宋体"/>
                <w:sz w:val="24"/>
                <w:szCs w:val="24"/>
              </w:rPr>
              <w:t>括：档案的接收和转递。</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lang w:eastAsia="zh-CN"/>
              </w:rPr>
            </w:pPr>
            <w:r>
              <w:rPr>
                <w:rFonts w:hint="eastAsia" w:ascii="仿宋_GB2312" w:eastAsia="仿宋_GB2312"/>
                <w:sz w:val="24"/>
                <w:lang w:eastAsia="zh-CN"/>
              </w:rPr>
              <w:t>现场检查</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2</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r>
              <w:rPr>
                <w:rFonts w:hint="eastAsia" w:ascii="仿宋_GB2312" w:eastAsia="仿宋_GB2312"/>
                <w:sz w:val="24"/>
                <w:lang w:eastAsia="zh-CN"/>
              </w:rPr>
              <w:t>区人社局</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lang w:eastAsia="zh-CN"/>
              </w:rPr>
            </w:pPr>
            <w:r>
              <w:rPr>
                <w:rFonts w:hint="eastAsia" w:ascii="仿宋_GB2312" w:eastAsia="仿宋_GB2312"/>
                <w:sz w:val="24"/>
                <w:lang w:eastAsia="zh-CN"/>
              </w:rPr>
              <w:t>供养亲属抚恤金申领</w:t>
            </w:r>
          </w:p>
        </w:tc>
        <w:tc>
          <w:tcPr>
            <w:tcW w:w="19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lang w:eastAsia="zh-CN"/>
              </w:rPr>
            </w:pPr>
            <w:r>
              <w:rPr>
                <w:rFonts w:hint="eastAsia" w:ascii="仿宋_GB2312" w:eastAsia="仿宋_GB2312"/>
                <w:sz w:val="24"/>
                <w:lang w:eastAsia="zh-CN"/>
              </w:rPr>
              <w:t>无收入来源证明</w:t>
            </w:r>
          </w:p>
        </w:tc>
        <w:tc>
          <w:tcPr>
            <w:tcW w:w="324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r>
              <w:rPr>
                <w:rFonts w:ascii="宋体" w:hAnsi="宋体" w:eastAsia="宋体" w:cs="宋体"/>
                <w:sz w:val="24"/>
                <w:szCs w:val="24"/>
              </w:rPr>
              <w:t>1.《中华人民共和国社会保险法》第三十八条：因工伤发生的下列费用，按照国家规定从工伤保险基金中支付：…… （八）因工死亡的，其遗属领取的丧葬补助金、供养亲属抚恤金和因工死亡补助金……。 2.《工伤保险条例》（中华人民共和国国务院令第586号）第三十九条：职工因工死亡，其近亲属按照下列规定从工伤保险 基金领取丧葬补助金、供养亲属抚恤金和一次性工亡补助金：……（二）供养亲属抚恤金按照职工本人工资的一定比例 发给由因工死亡职工生前提供主要生活来源、无劳动能力的亲属。标准为：配偶每月40%，其他亲属每人每月30%，孤寡 老人或者孤儿每人每月在上述标准的基础上增加10%。核定的各供养亲属的抚恤金之和不应高于因工死亡职工生前的工资 。供养亲属的具体范围由国务院社会保险行政部门规定……第四十一条：职工因工外出期间发生事故或者在抢险救灾中 下落不明的，从事故发生当月起3个月内照发工资，从第4个月起停发工资，由工伤保险基金向其供养亲属按月支付供养 亲属抚恤金……。 3.《关于印发工伤保险经办规程的通知》（人社部发〔2012〕11号）第七十条：申请领取供养亲属抚恤金的，应提供以下 资料：（一）居民身份证原件及复印件；（二）与工亡职工关系证明；（三）依靠工亡职工生前提供主要生活来源的证 明；（四）完全丧失劳动能力的提供劳动能力鉴定结论书；（五）孤儿、孤寡老人提供民政部门相关证明；（六）在校 学生提供学校就读证明；（七）省、自治区、直辖市经办机构规定的其他证件和资料。供养亲属范围和条件根据国务院 社会保险行政部门有关规定确定。</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lang w:eastAsia="zh-CN"/>
              </w:rPr>
            </w:pPr>
            <w:r>
              <w:rPr>
                <w:rFonts w:hint="eastAsia" w:ascii="仿宋_GB2312" w:eastAsia="仿宋_GB2312"/>
                <w:sz w:val="24"/>
                <w:lang w:eastAsia="zh-CN"/>
              </w:rPr>
              <w:t>通过信息比对，工作人员实地走访、电话调查等方式核查</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3</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r>
              <w:rPr>
                <w:rFonts w:hint="eastAsia" w:ascii="仿宋_GB2312" w:eastAsia="仿宋_GB2312"/>
                <w:sz w:val="24"/>
                <w:lang w:eastAsia="zh-CN"/>
              </w:rPr>
              <w:t>区人社局</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lang w:eastAsia="zh-CN"/>
              </w:rPr>
            </w:pPr>
            <w:r>
              <w:rPr>
                <w:rFonts w:hint="eastAsia" w:ascii="仿宋_GB2312" w:eastAsia="仿宋_GB2312"/>
                <w:sz w:val="24"/>
                <w:lang w:eastAsia="zh-CN"/>
              </w:rPr>
              <w:t>机关事业单位退休人员死亡</w:t>
            </w:r>
          </w:p>
        </w:tc>
        <w:tc>
          <w:tcPr>
            <w:tcW w:w="19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lang w:eastAsia="zh-CN"/>
              </w:rPr>
            </w:pPr>
            <w:r>
              <w:rPr>
                <w:rFonts w:hint="eastAsia" w:ascii="仿宋_GB2312" w:eastAsia="仿宋_GB2312"/>
                <w:sz w:val="24"/>
                <w:lang w:eastAsia="zh-CN"/>
              </w:rPr>
              <w:t>死亡证明</w:t>
            </w:r>
          </w:p>
        </w:tc>
        <w:tc>
          <w:tcPr>
            <w:tcW w:w="324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r>
              <w:rPr>
                <w:rFonts w:ascii="宋体" w:hAnsi="宋体" w:eastAsia="宋体" w:cs="宋体"/>
                <w:sz w:val="24"/>
                <w:szCs w:val="24"/>
              </w:rPr>
              <w:t>人力资源社会保障部关于印发《机关事业单位工作人员基本养老保险经办规程》的通知（人社部发〔2015〕32号）</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lang w:eastAsia="zh-CN"/>
              </w:rPr>
            </w:pPr>
            <w:r>
              <w:rPr>
                <w:rFonts w:hint="eastAsia" w:ascii="仿宋_GB2312" w:eastAsia="仿宋_GB2312"/>
                <w:sz w:val="24"/>
                <w:lang w:eastAsia="zh-CN"/>
              </w:rPr>
              <w:t>通过部门间数据共享核查</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4</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r>
              <w:rPr>
                <w:rFonts w:hint="eastAsia" w:ascii="仿宋_GB2312" w:eastAsia="仿宋_GB2312"/>
                <w:sz w:val="24"/>
                <w:lang w:eastAsia="zh-CN"/>
              </w:rPr>
              <w:t>区人社局</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lang w:eastAsia="zh-CN"/>
              </w:rPr>
            </w:pPr>
            <w:r>
              <w:rPr>
                <w:rFonts w:hint="eastAsia" w:ascii="仿宋_GB2312" w:eastAsia="仿宋_GB2312"/>
                <w:sz w:val="24"/>
                <w:lang w:eastAsia="zh-CN"/>
              </w:rPr>
              <w:t>机关事业单位在职人员死亡</w:t>
            </w:r>
          </w:p>
        </w:tc>
        <w:tc>
          <w:tcPr>
            <w:tcW w:w="19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r>
              <w:rPr>
                <w:rFonts w:hint="eastAsia" w:ascii="仿宋_GB2312" w:eastAsia="仿宋_GB2312"/>
                <w:sz w:val="24"/>
                <w:lang w:eastAsia="zh-CN"/>
              </w:rPr>
              <w:t>死亡证明</w:t>
            </w:r>
          </w:p>
        </w:tc>
        <w:tc>
          <w:tcPr>
            <w:tcW w:w="324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r>
              <w:rPr>
                <w:rFonts w:ascii="宋体" w:hAnsi="宋体" w:eastAsia="宋体" w:cs="宋体"/>
                <w:sz w:val="24"/>
                <w:szCs w:val="24"/>
              </w:rPr>
              <w:t>《中华人民共和国社会保险法》、《社会保险费征缴暂行条例》（国务院令第259号）、《社会保险费申报缴纳管理规定》（人社部2013年第20号令）、《河南省人力资源和社会保障厅关于印发河南省机关事业单位工作人员养老保险经办规程（试行）的通知》（豫人社〔2016〕18号）、《河南省社会保障局关于做好机关事业单位养老保险个人账户一次性支付业务经办有关问题的通知》（豫社保【2019】16号）</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r>
              <w:rPr>
                <w:rFonts w:hint="eastAsia" w:ascii="仿宋_GB2312" w:eastAsia="仿宋_GB2312"/>
                <w:sz w:val="24"/>
                <w:lang w:eastAsia="zh-CN"/>
              </w:rPr>
              <w:t>通过部门间数据共享核查</w:t>
            </w:r>
          </w:p>
        </w:tc>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F0D8B"/>
    <w:rsid w:val="0ECA14AA"/>
    <w:rsid w:val="6E0F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2021-06-28T08:41:00Z</dcterms:created>
  <dc:creator>johnpan</dc:creator>
  <cp:lastModifiedBy>johnpan</cp:lastModifiedBy>
  <dcterms:modified xsi:type="dcterms:W3CDTF">2021-06-28T09:34:04Z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F768A78BD4EC479EA44C0DBB0321A793</vt:lpwstr>
  </property>
</Properties>
</file>