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43645B"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pacing w:line="600" w:lineRule="exact"/>
        <w:jc w:val="center"/>
        <w:outlineLvl w:val="0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医保药品知识</w:t>
      </w:r>
    </w:p>
    <w:p w14:paraId="604CC650"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487C070A"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pacing w:line="600" w:lineRule="exact"/>
        <w:ind w:firstLine="640" w:firstLineChars="200"/>
        <w:jc w:val="left"/>
        <w:rPr>
          <w:rFonts w:ascii="仿宋_GB2312" w:eastAsia="仿宋_GB2312"/>
          <w:sz w:val="32"/>
          <w:szCs w:val="32"/>
          <w:lang w:val="zh-CN"/>
        </w:rPr>
      </w:pPr>
      <w:r>
        <w:rPr>
          <w:rFonts w:hint="eastAsia" w:ascii="仿宋_GB2312" w:eastAsia="仿宋_GB2312"/>
          <w:sz w:val="32"/>
          <w:szCs w:val="32"/>
          <w:lang w:val="zh-CN"/>
        </w:rPr>
        <w:t>为了将更多好药纳入医保，国家医保局自成立以来，不断推进国家医保药品目录调整工作。新版国家医保药品目录，自2026年1月1日起正式执行，目录内药品总数达到3253种。</w:t>
      </w:r>
    </w:p>
    <w:p w14:paraId="0FA5834A"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pacing w:line="600" w:lineRule="exact"/>
        <w:ind w:firstLine="640" w:firstLineChars="200"/>
        <w:jc w:val="left"/>
        <w:rPr>
          <w:rFonts w:hint="eastAsia" w:ascii="黑体" w:hAnsi="黑体" w:eastAsia="黑体"/>
          <w:kern w:val="0"/>
          <w:sz w:val="32"/>
          <w:szCs w:val="32"/>
          <w:lang w:bidi="ar"/>
        </w:rPr>
      </w:pPr>
      <w:r>
        <w:rPr>
          <w:rFonts w:hint="eastAsia" w:ascii="黑体" w:hAnsi="黑体" w:eastAsia="黑体"/>
          <w:kern w:val="0"/>
          <w:sz w:val="32"/>
          <w:szCs w:val="32"/>
          <w:lang w:bidi="ar"/>
        </w:rPr>
        <w:t>一、什么是医保药品？</w:t>
      </w:r>
    </w:p>
    <w:p w14:paraId="142A9747"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pacing w:line="600" w:lineRule="exact"/>
        <w:ind w:firstLine="640" w:firstLineChars="200"/>
        <w:jc w:val="left"/>
        <w:rPr>
          <w:rFonts w:ascii="仿宋_GB2312" w:eastAsia="仿宋_GB2312"/>
          <w:sz w:val="32"/>
          <w:szCs w:val="32"/>
          <w:lang w:val="zh-CN"/>
        </w:rPr>
      </w:pPr>
      <w:r>
        <w:rPr>
          <w:rFonts w:hint="eastAsia" w:ascii="仿宋_GB2312" w:eastAsia="仿宋_GB2312"/>
          <w:sz w:val="32"/>
          <w:szCs w:val="32"/>
          <w:lang w:val="zh-CN"/>
        </w:rPr>
        <w:t>在医保药品目录内的药品，被称为“医保药品”，医保药品主要分为两大类，分别是甲类药品和乙类药品。甲类药品是临床治疗必需、使用广泛、疗效好、同类药品中价格较低的药品；乙类药品是可供临床治疗选择使用、疗效好、同类药品中比甲类药品价格高的药品。</w:t>
      </w:r>
    </w:p>
    <w:p w14:paraId="0D8CF87C"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pacing w:line="600" w:lineRule="exact"/>
        <w:ind w:firstLine="640" w:firstLineChars="200"/>
        <w:jc w:val="left"/>
        <w:rPr>
          <w:rFonts w:hint="eastAsia" w:ascii="黑体" w:hAnsi="黑体" w:eastAsia="黑体"/>
          <w:kern w:val="0"/>
          <w:sz w:val="32"/>
          <w:szCs w:val="32"/>
          <w:lang w:bidi="ar"/>
        </w:rPr>
      </w:pPr>
      <w:r>
        <w:rPr>
          <w:rFonts w:hint="eastAsia" w:ascii="黑体" w:hAnsi="黑体" w:eastAsia="黑体"/>
          <w:kern w:val="0"/>
          <w:sz w:val="32"/>
          <w:szCs w:val="32"/>
          <w:lang w:bidi="ar"/>
        </w:rPr>
        <w:t>二、医保药品报销比例跟哪些因素有关？</w:t>
      </w:r>
    </w:p>
    <w:p w14:paraId="3A77DC12"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pacing w:line="600" w:lineRule="exact"/>
        <w:ind w:firstLine="640" w:firstLineChars="200"/>
        <w:jc w:val="left"/>
        <w:rPr>
          <w:rFonts w:ascii="仿宋_GB2312" w:eastAsia="仿宋_GB2312"/>
          <w:sz w:val="32"/>
          <w:szCs w:val="32"/>
          <w:lang w:val="zh-CN"/>
        </w:rPr>
      </w:pPr>
      <w:r>
        <w:rPr>
          <w:rFonts w:hint="eastAsia" w:ascii="仿宋_GB2312" w:eastAsia="仿宋_GB2312"/>
          <w:sz w:val="32"/>
          <w:szCs w:val="32"/>
          <w:lang w:val="zh-CN"/>
        </w:rPr>
        <w:t>参保人使用“甲类”药品时，可以全额纳入报销范围。乙类药品有首自付比例，并且同一种药在不同的省市首自付比例会存在一定的差异。具体医保药品的报销比例与参保群众参保性质（职工医保、居民医保），药品分类（甲类、乙类），就诊医院的医院等级（三级、二级、一级及以下），就诊形式（住院、门诊）等有关，除此之外，还与患者是否涉及门诊慢性病、门诊特定药品、双通道等待遇有关。</w:t>
      </w:r>
    </w:p>
    <w:p w14:paraId="5F61E86E"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pacing w:line="600" w:lineRule="exact"/>
        <w:ind w:firstLine="640" w:firstLineChars="200"/>
        <w:jc w:val="left"/>
        <w:rPr>
          <w:rFonts w:hint="eastAsia" w:ascii="黑体" w:hAnsi="黑体" w:eastAsia="黑体"/>
          <w:kern w:val="0"/>
          <w:sz w:val="32"/>
          <w:szCs w:val="32"/>
          <w:lang w:bidi="ar"/>
        </w:rPr>
      </w:pPr>
      <w:r>
        <w:rPr>
          <w:rFonts w:hint="eastAsia" w:ascii="黑体" w:hAnsi="黑体" w:eastAsia="黑体"/>
          <w:kern w:val="0"/>
          <w:sz w:val="32"/>
          <w:szCs w:val="32"/>
          <w:lang w:bidi="ar"/>
        </w:rPr>
        <w:t>三、什么是国谈药品？双通道管理药品？</w:t>
      </w:r>
    </w:p>
    <w:p w14:paraId="4FCBE5C1"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pacing w:line="600" w:lineRule="exact"/>
        <w:ind w:firstLine="640" w:firstLineChars="200"/>
        <w:rPr>
          <w:rFonts w:ascii="仿宋_GB2312" w:eastAsia="仿宋_GB2312"/>
          <w:sz w:val="32"/>
          <w:szCs w:val="32"/>
          <w:lang w:val="zh-CN"/>
        </w:rPr>
      </w:pPr>
      <w:r>
        <w:rPr>
          <w:rFonts w:hint="eastAsia" w:ascii="仿宋_GB2312" w:eastAsia="仿宋_GB2312"/>
          <w:sz w:val="32"/>
          <w:szCs w:val="32"/>
          <w:lang w:val="zh-CN"/>
        </w:rPr>
        <w:t>国家医保谈判药品（国谈药品）是由国家集中组织谈判确定的药品，药价大幅度降低，且纳入医保报销范围。“双通道”管理药品（以下简称“双通道”药品）主要是指临床价值高、患者急需、替代性不高的谈判药品。参保患者通过定点医疗机构开具的外配处方，在“双通道”零售药店购买“双通道”药品，医保基金按规定予以支付。</w:t>
      </w:r>
      <w:bookmarkStart w:id="0" w:name="_GoBack"/>
      <w:bookmarkEnd w:id="0"/>
    </w:p>
    <w:p w14:paraId="049DB37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2D6119"/>
    <w:rsid w:val="45073BD9"/>
    <w:rsid w:val="4B3E2A89"/>
    <w:rsid w:val="6F3E2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unhideWhenUsed/>
    <w:qFormat/>
    <w:uiPriority w:val="99"/>
    <w:pPr>
      <w:widowControl w:val="0"/>
      <w:autoSpaceDE w:val="0"/>
      <w:autoSpaceDN w:val="0"/>
      <w:adjustRightInd w:val="0"/>
      <w:spacing w:after="160" w:line="278" w:lineRule="auto"/>
    </w:pPr>
    <w:rPr>
      <w:rFonts w:hint="eastAsia" w:ascii="仿宋_GB2312" w:hAnsi="Calibri" w:eastAsia="仿宋_GB2312" w:cs="Times New Roman"/>
      <w:color w:val="000000"/>
      <w:sz w:val="24"/>
      <w:szCs w:val="22"/>
      <w:lang w:val="en-US" w:eastAsia="zh-CN" w:bidi="ar-SA"/>
    </w:r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466</Words>
  <Characters>483</Characters>
  <Lines>0</Lines>
  <Paragraphs>0</Paragraphs>
  <TotalTime>0</TotalTime>
  <ScaleCrop>false</ScaleCrop>
  <LinksUpToDate>false</LinksUpToDate>
  <CharactersWithSpaces>483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2026-06-16T09:20:00Z</dcterms:created>
  <dc:creator>Administrator</dc:creator>
  <cp:lastModifiedBy>江山如画</cp:lastModifiedBy>
  <dcterms:modified xsi:type="dcterms:W3CDTF">2026-07-01T07:46:36Z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eyJoZGlkIjoiNDNjYzlmNTI2YWU0M2MzMGI3OTA5OTUxNTAxNWY4NWYiLCJ1c2VySWQiOiI0NTMyMDIwOTgifQ==</vt:lpwstr>
  </property>
  <property fmtid="{D5CDD505-2E9C-101B-9397-08002B2CF9AE}" pid="4" name="ICV">
    <vt:lpwstr>4861C06F3B3A49EDAA2C400842F2CEE9_12</vt:lpwstr>
  </property>
</Properties>
</file>